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oject-servicename-go-microservice"/>
    <w:p>
      <w:pPr>
        <w:pStyle w:val="Heading1"/>
      </w:pPr>
      <w:r>
        <w:t xml:space="preserve">Project: [ServiceName] — Go Microservice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[Brief description of this service’s responsibility]</w:t>
      </w:r>
    </w:p>
    <w:bookmarkEnd w:id="20"/>
    <w:bookmarkStart w:id="21" w:name="tech-stack"/>
    <w:p>
      <w:pPr>
        <w:pStyle w:val="Heading2"/>
      </w:pPr>
      <w:r>
        <w:t xml:space="preserve">Tech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Go 1.23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 Router:</w:t>
      </w:r>
      <w:r>
        <w:t xml:space="preserve"> </w:t>
      </w:r>
      <w:r>
        <w:t xml:space="preserve">chi v5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via pgx/v5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testify v1, golangci-lint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log/slog (structured)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Config:</w:t>
      </w:r>
      <w:r>
        <w:t xml:space="preserve"> </w:t>
      </w:r>
      <w:r>
        <w:t xml:space="preserve">viper or envconfig</w:t>
      </w:r>
    </w:p>
    <w:bookmarkEnd w:id="21"/>
    <w:bookmarkStart w:id="22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cmd/</w:t>
      </w:r>
      <w:r>
        <w:br/>
      </w:r>
      <w:r>
        <w:rPr>
          <w:rStyle w:val="VerbatimChar"/>
        </w:rPr>
        <w:t xml:space="preserve">└── server/</w:t>
      </w:r>
      <w:r>
        <w:br/>
      </w:r>
      <w:r>
        <w:rPr>
          <w:rStyle w:val="VerbatimChar"/>
        </w:rPr>
        <w:t xml:space="preserve">    └── main.go         # Entry point — wire dependencies, start server</w:t>
      </w:r>
      <w:r>
        <w:br/>
      </w:r>
      <w:r>
        <w:rPr>
          <w:rStyle w:val="VerbatimChar"/>
        </w:rPr>
        <w:t xml:space="preserve">internal/</w:t>
      </w:r>
      <w:r>
        <w:br/>
      </w:r>
      <w:r>
        <w:rPr>
          <w:rStyle w:val="VerbatimChar"/>
        </w:rPr>
        <w:t xml:space="preserve">├── domain/             # Types, interfaces, business rules (no deps)</w:t>
      </w:r>
      <w:r>
        <w:br/>
      </w:r>
      <w:r>
        <w:rPr>
          <w:rStyle w:val="VerbatimChar"/>
        </w:rPr>
        <w:t xml:space="preserve">├── handler/            # HTTP handlers (thin layer, no business logic)</w:t>
      </w:r>
      <w:r>
        <w:br/>
      </w:r>
      <w:r>
        <w:rPr>
          <w:rStyle w:val="VerbatimChar"/>
        </w:rPr>
        <w:t xml:space="preserve">├── service/            # Business logic / use cases</w:t>
      </w:r>
      <w:r>
        <w:br/>
      </w:r>
      <w:r>
        <w:rPr>
          <w:rStyle w:val="VerbatimChar"/>
        </w:rPr>
        <w:t xml:space="preserve">├── repository/         # Database implementations</w:t>
      </w:r>
      <w:r>
        <w:br/>
      </w:r>
      <w:r>
        <w:rPr>
          <w:rStyle w:val="VerbatimChar"/>
        </w:rPr>
        <w:t xml:space="preserve">└── middleware/         # HTTP middleware</w:t>
      </w:r>
      <w:r>
        <w:br/>
      </w:r>
      <w:r>
        <w:rPr>
          <w:rStyle w:val="VerbatimChar"/>
        </w:rPr>
        <w:t xml:space="preserve">pkg/                    # Reusable public packages (used by other services)</w:t>
      </w:r>
      <w:r>
        <w:br/>
      </w:r>
      <w:r>
        <w:rPr>
          <w:rStyle w:val="VerbatimChar"/>
        </w:rPr>
        <w:t xml:space="preserve">migrations/             # SQL migration files (goose format)</w:t>
      </w:r>
      <w:r>
        <w:br/>
      </w:r>
      <w:r>
        <w:rPr>
          <w:rStyle w:val="VerbatimChar"/>
        </w:rPr>
        <w:t xml:space="preserve">go.mod</w:t>
      </w:r>
      <w:r>
        <w:br/>
      </w:r>
      <w:r>
        <w:rPr>
          <w:rStyle w:val="VerbatimChar"/>
        </w:rPr>
        <w:t xml:space="preserve">go.sum</w:t>
      </w:r>
      <w:r>
        <w:br/>
      </w:r>
      <w:r>
        <w:rPr>
          <w:rStyle w:val="VerbatimChar"/>
        </w:rPr>
        <w:t xml:space="preserve">Makefile</w:t>
      </w:r>
      <w:r>
        <w:br/>
      </w:r>
      <w:r>
        <w:rPr>
          <w:rStyle w:val="VerbatimChar"/>
        </w:rPr>
        <w:t xml:space="preserve">Dockerfile</w:t>
      </w:r>
    </w:p>
    <w:bookmarkEnd w:id="22"/>
    <w:bookmarkStart w:id="28" w:name="code-standards"/>
    <w:p>
      <w:pPr>
        <w:pStyle w:val="Heading2"/>
      </w:pPr>
      <w:r>
        <w:t xml:space="preserve">Code Standards</w:t>
      </w:r>
    </w:p>
    <w:bookmarkStart w:id="23" w:name="error-handling"/>
    <w:p>
      <w:pPr>
        <w:pStyle w:val="Heading3"/>
      </w:pPr>
      <w:r>
        <w:t xml:space="preserve">Error Handling</w:t>
      </w:r>
    </w:p>
    <w:p>
      <w:pPr>
        <w:numPr>
          <w:ilvl w:val="0"/>
          <w:numId w:val="1002"/>
        </w:numPr>
        <w:pStyle w:val="Compact"/>
      </w:pPr>
      <w:r>
        <w:t xml:space="preserve">Every error must be handled — never</w:t>
      </w:r>
      <w:r>
        <w:t xml:space="preserve"> </w:t>
      </w:r>
      <w:r>
        <w:rPr>
          <w:rStyle w:val="VerbatimChar"/>
        </w:rPr>
        <w:t xml:space="preserve">_</w:t>
      </w:r>
    </w:p>
    <w:p>
      <w:pPr>
        <w:numPr>
          <w:ilvl w:val="0"/>
          <w:numId w:val="1002"/>
        </w:numPr>
        <w:pStyle w:val="Compact"/>
      </w:pPr>
      <w:r>
        <w:t xml:space="preserve">Wrap errors with context:</w:t>
      </w:r>
      <w:r>
        <w:t xml:space="preserve"> </w:t>
      </w:r>
      <w:r>
        <w:rPr>
          <w:rStyle w:val="VerbatimChar"/>
        </w:rPr>
        <w:t xml:space="preserve">fmt.Errorf("service.GetUser: %w", err)</w:t>
      </w:r>
    </w:p>
    <w:p>
      <w:pPr>
        <w:numPr>
          <w:ilvl w:val="0"/>
          <w:numId w:val="1002"/>
        </w:numPr>
        <w:pStyle w:val="Compact"/>
      </w:pPr>
      <w:r>
        <w:t xml:space="preserve">Define sentinel errors for expected cases:</w:t>
      </w:r>
      <w:r>
        <w:t xml:space="preserve"> </w:t>
      </w:r>
      <w:r>
        <w:rPr>
          <w:rStyle w:val="VerbatimChar"/>
        </w:rPr>
        <w:t xml:space="preserve">var ErrNotFound = errors.New("not found")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errors.Is()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errors.As()</w:t>
      </w:r>
      <w:r>
        <w:t xml:space="preserve"> </w:t>
      </w:r>
      <w:r>
        <w:t xml:space="preserve">for checking</w:t>
      </w:r>
    </w:p>
    <w:bookmarkEnd w:id="23"/>
    <w:bookmarkStart w:id="24" w:name="context"/>
    <w:p>
      <w:pPr>
        <w:pStyle w:val="Heading3"/>
      </w:pPr>
      <w:r>
        <w:t xml:space="preserve">Context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context.Context</w:t>
      </w:r>
      <w:r>
        <w:t xml:space="preserve"> </w:t>
      </w:r>
      <w:r>
        <w:t xml:space="preserve">is ALWAYS the first parameter of any function that does I/O</w:t>
      </w:r>
    </w:p>
    <w:p>
      <w:pPr>
        <w:numPr>
          <w:ilvl w:val="0"/>
          <w:numId w:val="1003"/>
        </w:numPr>
        <w:pStyle w:val="Compact"/>
      </w:pPr>
      <w:r>
        <w:t xml:space="preserve">Check context cancellation in long-running loops</w:t>
      </w:r>
    </w:p>
    <w:bookmarkEnd w:id="24"/>
    <w:bookmarkStart w:id="25" w:name="concurrency"/>
    <w:p>
      <w:pPr>
        <w:pStyle w:val="Heading3"/>
      </w:pPr>
      <w:r>
        <w:t xml:space="preserve">Concurrency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sync.WaitGroup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errgroup.Group</w:t>
      </w:r>
      <w:r>
        <w:t xml:space="preserve"> </w:t>
      </w:r>
      <w:r>
        <w:t xml:space="preserve">for concurrent work</w:t>
      </w:r>
    </w:p>
    <w:p>
      <w:pPr>
        <w:numPr>
          <w:ilvl w:val="0"/>
          <w:numId w:val="1004"/>
        </w:numPr>
        <w:pStyle w:val="Compact"/>
      </w:pPr>
      <w:r>
        <w:t xml:space="preserve">Always close channels in the sender goroutine</w:t>
      </w:r>
    </w:p>
    <w:p>
      <w:pPr>
        <w:numPr>
          <w:ilvl w:val="0"/>
          <w:numId w:val="1004"/>
        </w:numPr>
        <w:pStyle w:val="Compact"/>
      </w:pPr>
      <w:r>
        <w:t xml:space="preserve">No goroutines that outlive their parent context</w:t>
      </w:r>
    </w:p>
    <w:bookmarkEnd w:id="25"/>
    <w:bookmarkStart w:id="26" w:name="naming"/>
    <w:p>
      <w:pPr>
        <w:pStyle w:val="Heading3"/>
      </w:pPr>
      <w:r>
        <w:t xml:space="preserve">Naming</w:t>
      </w:r>
    </w:p>
    <w:p>
      <w:pPr>
        <w:numPr>
          <w:ilvl w:val="0"/>
          <w:numId w:val="1005"/>
        </w:numPr>
        <w:pStyle w:val="Compact"/>
      </w:pPr>
      <w:r>
        <w:t xml:space="preserve">Short, clear names:</w:t>
      </w:r>
      <w:r>
        <w:t xml:space="preserve"> </w:t>
      </w:r>
      <w:r>
        <w:rPr>
          <w:rStyle w:val="VerbatimChar"/>
        </w:rPr>
        <w:t xml:space="preserve">svc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for handler receivers</w:t>
      </w:r>
    </w:p>
    <w:p>
      <w:pPr>
        <w:numPr>
          <w:ilvl w:val="0"/>
          <w:numId w:val="1005"/>
        </w:numPr>
        <w:pStyle w:val="Compact"/>
      </w:pPr>
      <w:r>
        <w:t xml:space="preserve">Exported types: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OrderRepository</w:t>
      </w:r>
    </w:p>
    <w:p>
      <w:pPr>
        <w:numPr>
          <w:ilvl w:val="0"/>
          <w:numId w:val="1005"/>
        </w:numPr>
        <w:pStyle w:val="Compact"/>
      </w:pPr>
      <w:r>
        <w:t xml:space="preserve">Interfaces: describe capability —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UserFinder</w:t>
      </w:r>
    </w:p>
    <w:p>
      <w:pPr>
        <w:numPr>
          <w:ilvl w:val="0"/>
          <w:numId w:val="1005"/>
        </w:numPr>
        <w:pStyle w:val="Compac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Test[FuncName]_[Scenario]</w:t>
      </w:r>
    </w:p>
    <w:bookmarkEnd w:id="26"/>
    <w:bookmarkStart w:id="27" w:name="http-handlers"/>
    <w:p>
      <w:pPr>
        <w:pStyle w:val="Heading3"/>
      </w:pPr>
      <w:r>
        <w:t xml:space="preserve">HTTP Handlers</w:t>
      </w:r>
    </w:p>
    <w:p>
      <w:pPr>
        <w:numPr>
          <w:ilvl w:val="0"/>
          <w:numId w:val="1006"/>
        </w:numPr>
        <w:pStyle w:val="Compact"/>
      </w:pPr>
      <w:r>
        <w:t xml:space="preserve">Handlers only: parse input → call service → write response</w:t>
      </w:r>
    </w:p>
    <w:p>
      <w:pPr>
        <w:numPr>
          <w:ilvl w:val="0"/>
          <w:numId w:val="1006"/>
        </w:numPr>
        <w:pStyle w:val="Compact"/>
      </w:pPr>
      <w:r>
        <w:t xml:space="preserve">No business logic in handlers</w:t>
      </w:r>
    </w:p>
    <w:p>
      <w:pPr>
        <w:numPr>
          <w:ilvl w:val="0"/>
          <w:numId w:val="1006"/>
        </w:numPr>
        <w:pStyle w:val="Compact"/>
      </w:pPr>
      <w:r>
        <w:t xml:space="preserve">Always return proper HTTP status codes</w:t>
      </w:r>
    </w:p>
    <w:p>
      <w:pPr>
        <w:numPr>
          <w:ilvl w:val="0"/>
          <w:numId w:val="1006"/>
        </w:numPr>
        <w:pStyle w:val="Compact"/>
      </w:pPr>
      <w:r>
        <w:t xml:space="preserve">Log errors at handler level with request context</w:t>
      </w:r>
    </w:p>
    <w:bookmarkEnd w:id="27"/>
    <w:bookmarkEnd w:id="28"/>
    <w:bookmarkStart w:id="29" w:name="common-commands"/>
    <w:p>
      <w:pPr>
        <w:pStyle w:val="Heading2"/>
      </w:pPr>
      <w:r>
        <w:t xml:space="preserve">Common Commands</w:t>
      </w:r>
    </w:p>
    <w:p>
      <w:pPr>
        <w:pStyle w:val="SourceCode"/>
      </w:pP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./cmd/server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./...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golangci-lint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bin/server ./cmd/server</w:t>
      </w:r>
      <w:r>
        <w:br/>
      </w:r>
      <w:r>
        <w:br/>
      </w:r>
      <w:r>
        <w:rPr>
          <w:rStyle w:val="CommentTok"/>
        </w:rPr>
        <w:t xml:space="preserve"># Migration (goose)</w:t>
      </w:r>
      <w:r>
        <w:br/>
      </w:r>
      <w:r>
        <w:rPr>
          <w:rStyle w:val="ExtensionTok"/>
        </w:rPr>
        <w:t xml:space="preserve">goose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-dir</w:t>
      </w:r>
      <w:r>
        <w:rPr>
          <w:rStyle w:val="NormalTok"/>
        </w:rPr>
        <w:t xml:space="preserve"> migrations postgres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 Generate mocks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generate ./...</w:t>
      </w:r>
    </w:p>
    <w:bookmarkEnd w:id="29"/>
    <w:bookmarkStart w:id="30" w:name="configuration-via-environment"/>
    <w:p>
      <w:pPr>
        <w:pStyle w:val="Heading2"/>
      </w:pPr>
      <w:r>
        <w:t xml:space="preserve">Configuration (via environment)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postgres://user:pass@localhost:5432/dbname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sslmode=disable</w:t>
      </w:r>
      <w:r>
        <w:br/>
      </w:r>
      <w:r>
        <w:rPr>
          <w:rStyle w:val="VariableTok"/>
        </w:rPr>
        <w:t xml:space="preserve">SERVER_ADDR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:8080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</w:p>
    <w:bookmarkEnd w:id="30"/>
    <w:bookmarkStart w:id="31" w:name="do-not"/>
    <w:p>
      <w:pPr>
        <w:pStyle w:val="Heading2"/>
      </w:pPr>
      <w:r>
        <w:t xml:space="preserve">Do NOT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functions (except for test helpers)</w:t>
      </w:r>
    </w:p>
    <w:p>
      <w:pPr>
        <w:numPr>
          <w:ilvl w:val="0"/>
          <w:numId w:val="1007"/>
        </w:numPr>
        <w:pStyle w:val="Compact"/>
      </w:pPr>
      <w:r>
        <w:t xml:space="preserve">Use global mutable variables</w:t>
      </w:r>
    </w:p>
    <w:p>
      <w:pPr>
        <w:numPr>
          <w:ilvl w:val="0"/>
          <w:numId w:val="1007"/>
        </w:numPr>
        <w:pStyle w:val="Compact"/>
      </w:pPr>
      <w:r>
        <w:t xml:space="preserve">Panic in library code (only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http.DefaultClient</w:t>
      </w:r>
      <w:r>
        <w:t xml:space="preserve"> </w:t>
      </w:r>
      <w:r>
        <w:t xml:space="preserve">(create clients with timeouts)</w:t>
      </w:r>
    </w:p>
    <w:p>
      <w:pPr>
        <w:numPr>
          <w:ilvl w:val="0"/>
          <w:numId w:val="1007"/>
        </w:numPr>
        <w:pStyle w:val="Compact"/>
      </w:pPr>
      <w:r>
        <w:t xml:space="preserve">Ignore lint warnings without</w:t>
      </w:r>
      <w:r>
        <w:t xml:space="preserve"> </w:t>
      </w:r>
      <w:r>
        <w:rPr>
          <w:rStyle w:val="VerbatimChar"/>
        </w:rPr>
        <w:t xml:space="preserve">//nolint:rulename // reason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2026-07-17T11:01:52Z</dcterms:created>
  <dcterms:modified xsi:type="dcterms:W3CDTF">2026-07-17T11:01:52Z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