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Strengthened financial management processes to bring errors to near-zero in reporting, payroll administration and general bookkeeping.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Completed daily cash functions like account tracking, payroll and wage allocations, budgeting, donating and all types of cash and banking reconciliations.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Managed entire accounting cycle including gathering information, preparing documents, finalizing reports and closing books.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Improved efficiency of operations, including data collection, analysis and modeling, to enhance practices and increase customer retention.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Tracked financial progress by creating quarterly and yearly balance sheets.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Reviewed accounting structures and procedures on regular basis to identify areas in need of improvement.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Followed up with customers to collect specific financial information and verify details for preparation of annual 1095 forms.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Maintained up-to-date knowledge on permits, certificates and documents mandatory for government departments.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Proactively researched technical tax issues related to consulting projects.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Accurately documented all cash, credit, fixed assets, accrued expenses and line of credit transactions.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Evaluated and improved accuracy and completeness of [Type] financial records to boost regulatory compliance.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lastRenderedPageBreak/>
        <w:t>Drove client satisfaction by identifying maximum adjustments, deductions and credits.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Reconciled accounts and reviewed all materials, including surplus, income, expense data, net worth and assets.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B83BFB" w:rsidRPr="00B83BFB" w:rsidRDefault="00B83BFB" w:rsidP="00B83B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3BFB">
        <w:rPr>
          <w:rFonts w:asciiTheme="majorHAnsi" w:hAnsiTheme="majorHAnsi"/>
          <w:sz w:val="24"/>
        </w:rPr>
        <w:t>Supported monthly reporting analysis to achieve validation of internal reports and to reconcile production operations and general ledger.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B8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5F9"/>
    <w:multiLevelType w:val="multilevel"/>
    <w:tmpl w:val="D3CE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B83BFB"/>
    <w:rsid w:val="00B8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2020-11-27T05:06:00Z</dcterms:modified>
</cp:coreProperties>
</file>