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Referred delinquent accounts to collections department or outside resources.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Monitored accounts for signs of fraud and non-payment issues.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Recognized across organization for diligence, accuracy and contributions toward maintaining positive cash position through problem resolution.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Negotiated settlements and payment terms with customers through [Action].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Streamlined processes for early identification of potential credit system and monitoring problems.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Attended ongoing professional training to facilitate accurate and productive credit management.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lastRenderedPageBreak/>
        <w:t>Analyzed applicants' financial status and credit and property evaluations to determine loan feasibility.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Utilized deep understanding of industry best practices and legal requirements to prevent critical incidents.</w:t>
      </w:r>
    </w:p>
    <w:p w:rsidR="00D13E1F" w:rsidRPr="00D13E1F" w:rsidRDefault="00D13E1F" w:rsidP="00D13E1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13E1F">
        <w:rPr>
          <w:rFonts w:asciiTheme="majorHAnsi" w:hAnsiTheme="majorHAnsi"/>
          <w:sz w:val="24"/>
        </w:rPr>
        <w:t>Compiled data critical to analysis of annual bad debt.</w:t>
      </w:r>
    </w:p>
    <w:p w:rsidR="00D23ECF" w:rsidRPr="00D13E1F" w:rsidRDefault="00D23ECF" w:rsidP="00D13E1F"/>
    <w:sectPr w:rsidR="00D23ECF" w:rsidRPr="00D13E1F" w:rsidSect="008A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04174"/>
    <w:multiLevelType w:val="multilevel"/>
    <w:tmpl w:val="7FF0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A1B1E"/>
    <w:rsid w:val="00D13E1F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2020-12-01T07:10:00Z</dcterms:modified>
</cp:coreProperties>
</file>