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Investigated drawing interpretation problems and conflicts and developed resolution options.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Reviewed contractor proposals and sets of drawings prepared by [Type] firms to identify missing information, generate questions and align budgets.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Verified accuracy of cost estimates in drafting construction project proposals.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Worked with legal department to set and correct contract parameters.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Handle RFPs, RFIs and RFQs to keep project planning moving smoothly.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Selected and oversaw subcontractors, built positive relationships and made timely corrections to maintain design specifications.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Coordinated electrical work necessary for conduit installation and wiring termination.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Gathered and documented requirements from developers, owners, consultants and local code authorities.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Installed transformers and connected components and noise suppression systems according to IEEE guidelines and grounding regulations.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Put together job data including materials take-offs, pricing lists and labor costs.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Reviewed construction work against technical designs and drawings to assess compliance.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Set work schedules, coordinated site facilities and monitored progress.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Drove energy-efficient project development by performing energy audits and energy simulation modeling.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Estimated costs associated with labor, equipment and materials required to produce specific designs.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Coordinated and facilitated onsite consultant, regulatory and client representative inspections.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Presented data, maps or other information at construction-related public hearings or meetings.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Helped to solve site problems by applying technical expertise in [Type] and [Type] areas.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lastRenderedPageBreak/>
        <w:t>Audited sites to collect and analyze structural, electrical and engineering data.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Facilitated goal acquisition through system design review, website configuration and installation schedule coordination.</w:t>
      </w:r>
    </w:p>
    <w:p w:rsidR="002B439D" w:rsidRPr="002B439D" w:rsidRDefault="002B439D" w:rsidP="002B43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439D">
        <w:rPr>
          <w:rFonts w:asciiTheme="majorHAnsi" w:hAnsiTheme="majorHAnsi"/>
          <w:sz w:val="24"/>
        </w:rPr>
        <w:t>Visited construction sites daily to evaluate work quality.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E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5F9"/>
    <w:multiLevelType w:val="multilevel"/>
    <w:tmpl w:val="FE24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B439D"/>
    <w:rsid w:val="004F254B"/>
    <w:rsid w:val="007E1AF3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2020-12-02T04:33:00Z</dcterms:modified>
</cp:coreProperties>
</file>