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Performed maintenance duty on pumps, wastewater operations and commercial injection systems.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Provided technical and professional engineering support services in design, construction and traffic engineering.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Assessed construction and demolition operations for compliance with [Type] rules and regulations.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lastRenderedPageBreak/>
        <w:t>Managed construction contracts for capital projects to outline objectives, stakeholder responsibilities and modification procedures.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Kept project on schedule and within budget while serving as project leader.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Planned, directed and participated in surveying activities and researching title reports and deeds in preparation of survey instructions.</w:t>
      </w:r>
    </w:p>
    <w:p w:rsidR="007E0D0B" w:rsidRPr="007E0D0B" w:rsidRDefault="007E0D0B" w:rsidP="007E0D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0D0B">
        <w:rPr>
          <w:rFonts w:asciiTheme="majorHAnsi" w:hAnsiTheme="majorHAnsi"/>
          <w:sz w:val="24"/>
        </w:rPr>
        <w:t>Attended training, meetings and seminars to enhance job knowledge and skills.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C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49A1"/>
    <w:multiLevelType w:val="multilevel"/>
    <w:tmpl w:val="0AA6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C1BAD"/>
    <w:rsid w:val="007E0D0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2020-12-01T14:56:00Z</dcterms:modified>
</cp:coreProperties>
</file>