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12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512"/>
            <w:tcBorders>
              <w:top w:val="nil"/>
              <w:left w:val="nil"/>
              <w:bottom w:val="nil"/>
              <w:right w:val="nil"/>
            </w:tcBorders>
            <w:shd w:fill="368C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Role Overview — Head of AI Adoption, IT &amp; Research</w:t>
            </w:r>
          </w:p>
        </w:tc>
      </w:tr>
    </w:tbl>
    <w:p>
      <w:pPr>
        <w:spacing w:after="50" w:before="0"/>
      </w:pPr>
    </w:p>
    <w:tbl>
      <w:tblPr>
        <w:tblW w:type="dxa" w:w="10512"/>
        <w:tblBorders>
          <w:top w:val="single" w:color="BCD6ED" w:sz="2"/>
          <w:left w:val="single" w:color="BCD6ED" w:sz="2"/>
          <w:bottom w:val="single" w:color="BCD6ED" w:sz="2"/>
          <w:right w:val="single" w:color="BCD6ED" w:sz="2"/>
          <w:insideH w:val="single" w:color="auto" w:sz="4"/>
          <w:insideV w:val="single" w:color="auto" w:sz="4"/>
        </w:tblBorders>
      </w:tblPr>
      <w:tblGrid>
        <w:gridCol w:w="2448"/>
        <w:gridCol w:w="8064"/>
      </w:tblGrid>
      <w:tr>
        <w:tc>
          <w:tcPr>
            <w:tcW w:type="dxa" w:w="244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B"/>
                <w:sz w:val="15"/>
                <w:szCs w:val="15"/>
              </w:rPr>
              <w:t xml:space="preserve">Position</w:t>
            </w:r>
          </w:p>
        </w:tc>
        <w:tc>
          <w:tcPr>
            <w:tcW w:type="dxa" w:w="80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Head of AI Adoption, IT &amp; Research</w:t>
            </w:r>
          </w:p>
        </w:tc>
      </w:tr>
      <w:tr>
        <w:tc>
          <w:tcPr>
            <w:tcW w:type="dxa" w:w="244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B"/>
                <w:sz w:val="15"/>
                <w:szCs w:val="15"/>
              </w:rPr>
              <w:t xml:space="preserve">Department</w:t>
            </w:r>
          </w:p>
        </w:tc>
        <w:tc>
          <w:tcPr>
            <w:tcW w:type="dxa" w:w="80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AI, IT &amp; Research</w:t>
            </w:r>
          </w:p>
        </w:tc>
      </w:tr>
      <w:tr>
        <w:tc>
          <w:tcPr>
            <w:tcW w:type="dxa" w:w="244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B"/>
                <w:sz w:val="15"/>
                <w:szCs w:val="15"/>
              </w:rPr>
              <w:t xml:space="preserve">Reports To</w:t>
            </w:r>
          </w:p>
        </w:tc>
        <w:tc>
          <w:tcPr>
            <w:tcW w:type="dxa" w:w="80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Leadership / Management</w:t>
            </w:r>
          </w:p>
        </w:tc>
      </w:tr>
      <w:tr>
        <w:tc>
          <w:tcPr>
            <w:tcW w:type="dxa" w:w="244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B"/>
                <w:sz w:val="15"/>
                <w:szCs w:val="15"/>
              </w:rPr>
              <w:t xml:space="preserve">Industry</w:t>
            </w:r>
          </w:p>
        </w:tc>
        <w:tc>
          <w:tcPr>
            <w:tcW w:type="dxa" w:w="80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Real Estate Development</w:t>
            </w:r>
          </w:p>
        </w:tc>
      </w:tr>
      <w:tr>
        <w:tc>
          <w:tcPr>
            <w:tcW w:type="dxa" w:w="244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B"/>
                <w:sz w:val="15"/>
                <w:szCs w:val="15"/>
              </w:rPr>
              <w:t xml:space="preserve">Location</w:t>
            </w:r>
          </w:p>
        </w:tc>
        <w:tc>
          <w:tcPr>
            <w:tcW w:type="dxa" w:w="80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Jaipur, Rajasthan</w:t>
            </w:r>
          </w:p>
        </w:tc>
      </w:tr>
      <w:tr>
        <w:tc>
          <w:tcPr>
            <w:tcW w:type="dxa" w:w="244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B"/>
                <w:sz w:val="15"/>
                <w:szCs w:val="15"/>
              </w:rPr>
              <w:t xml:space="preserve">Mandatory Qualification</w:t>
            </w:r>
          </w:p>
        </w:tc>
        <w:tc>
          <w:tcPr>
            <w:tcW w:type="dxa" w:w="80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B.Tech / MCA — mandatory</w:t>
            </w:r>
          </w:p>
        </w:tc>
      </w:tr>
      <w:tr>
        <w:tc>
          <w:tcPr>
            <w:tcW w:type="dxa" w:w="244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B"/>
                <w:sz w:val="15"/>
                <w:szCs w:val="15"/>
              </w:rPr>
              <w:t xml:space="preserve">Preferred Qualification</w:t>
            </w:r>
          </w:p>
        </w:tc>
        <w:tc>
          <w:tcPr>
            <w:tcW w:type="dxa" w:w="80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MBA-Tech hybrid or additional certification in AI/digital transformation — preferred, not mandatory</w:t>
            </w:r>
          </w:p>
        </w:tc>
      </w:tr>
      <w:tr>
        <w:tc>
          <w:tcPr>
            <w:tcW w:type="dxa" w:w="244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A3B"/>
                <w:sz w:val="15"/>
                <w:szCs w:val="15"/>
              </w:rPr>
              <w:t xml:space="preserve">Experience</w:t>
            </w:r>
          </w:p>
        </w:tc>
        <w:tc>
          <w:tcPr>
            <w:tcW w:type="dxa" w:w="80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10–15+ years in IT, digital transformation, analytics, or product/automation leadership, with strong stakeholder and vendor management.</w:t>
            </w:r>
          </w:p>
        </w:tc>
      </w:tr>
    </w:tbl>
    <w:p>
      <w:pPr>
        <w:spacing w:after="60" w:before="0"/>
      </w:pPr>
    </w:p>
    <w:tbl>
      <w:tblPr>
        <w:tblW w:type="dxa" w:w="10512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512"/>
            <w:tcBorders>
              <w:top w:val="nil"/>
              <w:left w:val="nil"/>
              <w:bottom w:val="nil"/>
              <w:right w:val="nil"/>
            </w:tcBorders>
            <w:shd w:fill="2375D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Purpose</w:t>
            </w:r>
          </w:p>
        </w:tc>
      </w:tr>
    </w:tbl>
    <w:p>
      <w:pPr>
        <w:spacing w:after="160" w:before="90"/>
        <w:ind w:left="130" w:right="15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Responsible for leading practical AI adoption, IT systems, automation, and research intelligence across UrbanGaon, driving digital productivity tools, vendor selection, cybersecurity hygiene, and cross-functional training to enable a technology-forward, data-driven organisation.</w:t>
      </w:r>
    </w:p>
    <w:tbl>
      <w:tblPr>
        <w:tblW w:type="dxa" w:w="10512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512"/>
            <w:tcBorders>
              <w:top w:val="nil"/>
              <w:left w:val="nil"/>
              <w:bottom w:val="nil"/>
              <w:right w:val="nil"/>
            </w:tcBorders>
            <w:shd w:fill="2375D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Responsibilities</w:t>
            </w:r>
          </w:p>
        </w:tc>
      </w:tr>
    </w:tbl>
    <w:p>
      <w:pPr>
        <w:spacing w:before="9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Identify and implement practical AI use cases across business functions.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Own and manage IT systems, infrastructure, and digital tools.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Drive automation of manual processes to improve efficiency.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Build data and reporting frameworks to support decision-making.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Lead research intelligence — market, competitor, and technology trends.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Evaluate and roll out digital productivity tools across teams.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Manage vendor selection, evaluation, and contracts for IT/AI solutions.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Ensure cybersecurity hygiene and data protection practices are followed.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Conduct cross-functional training on AI tools and digital adoption.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Partner with leadership and department heads to align technology with business goals.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Monitor and report on AI/IT adoption impact and ROI.</w:t>
      </w:r>
    </w:p>
    <w:p>
      <w:pPr>
        <w:spacing w:after="60" w:before="0"/>
      </w:pPr>
    </w:p>
    <w:tbl>
      <w:tblPr>
        <w:tblW w:type="dxa" w:w="10512"/>
        <w:tblBorders>
          <w:top w:val="single" w:color="BCD6ED" w:sz="2"/>
          <w:left w:val="single" w:color="BCD6ED" w:sz="2"/>
          <w:bottom w:val="single" w:color="BCD6ED" w:sz="2"/>
          <w:right w:val="single" w:color="BCD6ED" w:sz="2"/>
          <w:insideH w:val="single" w:color="auto" w:sz="4"/>
          <w:insideV w:val="single" w:color="auto" w:sz="4"/>
        </w:tblBorders>
      </w:tblPr>
      <w:tblGrid>
        <w:gridCol w:w="2664"/>
        <w:gridCol w:w="3672"/>
        <w:gridCol w:w="3168"/>
        <w:gridCol w:w="1008"/>
      </w:tblGrid>
      <w:tr>
        <w:tc>
          <w:tcPr>
            <w:tcW w:type="dxa" w:w="10512"/>
            <w:gridSpan w:val="4"/>
            <w:tcBorders>
              <w:top w:val="nil"/>
              <w:left w:val="nil"/>
              <w:bottom w:val="nil"/>
              <w:right w:val="nil"/>
            </w:tcBorders>
            <w:shd w:fill="2375D4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Result Areas &amp; Performance Indicators</w:t>
            </w:r>
          </w:p>
        </w:tc>
      </w:tr>
      <w:tr>
        <w:tc>
          <w:tcPr>
            <w:tcW w:type="dxa" w:w="26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2375D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KRA Area</w:t>
            </w:r>
          </w:p>
        </w:tc>
        <w:tc>
          <w:tcPr>
            <w:tcW w:type="dxa" w:w="3672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2375D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KPI / Measure</w:t>
            </w:r>
          </w:p>
        </w:tc>
        <w:tc>
          <w:tcPr>
            <w:tcW w:type="dxa" w:w="316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2375D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Target</w:t>
            </w:r>
          </w:p>
        </w:tc>
        <w:tc>
          <w:tcPr>
            <w:tcW w:type="dxa" w:w="100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2375D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Wt.</w:t>
            </w:r>
          </w:p>
        </w:tc>
      </w:tr>
      <w:tr>
        <w:tc>
          <w:tcPr>
            <w:tcW w:type="dxa" w:w="26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AI Adoption &amp; Use Cases</w:t>
            </w:r>
          </w:p>
        </w:tc>
        <w:tc>
          <w:tcPr>
            <w:tcW w:type="dxa" w:w="3672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Number/impact of AI use cases implemented</w:t>
            </w:r>
          </w:p>
        </w:tc>
        <w:tc>
          <w:tcPr>
            <w:tcW w:type="dxa" w:w="316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Per agreed roadmap, measurable impact</w:t>
            </w:r>
          </w:p>
        </w:tc>
        <w:tc>
          <w:tcPr>
            <w:tcW w:type="dxa" w:w="100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20%</w:t>
            </w:r>
          </w:p>
        </w:tc>
      </w:tr>
      <w:tr>
        <w:tc>
          <w:tcPr>
            <w:tcW w:type="dxa" w:w="26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IT Systems &amp; Infrastructure</w:t>
            </w:r>
          </w:p>
        </w:tc>
        <w:tc>
          <w:tcPr>
            <w:tcW w:type="dxa" w:w="3672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System uptime and reliability</w:t>
            </w:r>
          </w:p>
        </w:tc>
        <w:tc>
          <w:tcPr>
            <w:tcW w:type="dxa" w:w="316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Minimal downtime, zero critical failures</w:t>
            </w:r>
          </w:p>
        </w:tc>
        <w:tc>
          <w:tcPr>
            <w:tcW w:type="dxa" w:w="100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15%</w:t>
            </w:r>
          </w:p>
        </w:tc>
      </w:tr>
      <w:tr>
        <w:tc>
          <w:tcPr>
            <w:tcW w:type="dxa" w:w="26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Automation &amp; Process Efficiency</w:t>
            </w:r>
          </w:p>
        </w:tc>
        <w:tc>
          <w:tcPr>
            <w:tcW w:type="dxa" w:w="3672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Processes automated, time saved</w:t>
            </w:r>
          </w:p>
        </w:tc>
        <w:tc>
          <w:tcPr>
            <w:tcW w:type="dxa" w:w="316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As per quarterly targets</w:t>
            </w:r>
          </w:p>
        </w:tc>
        <w:tc>
          <w:tcPr>
            <w:tcW w:type="dxa" w:w="100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15%</w:t>
            </w:r>
          </w:p>
        </w:tc>
      </w:tr>
      <w:tr>
        <w:tc>
          <w:tcPr>
            <w:tcW w:type="dxa" w:w="26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Data &amp; Reporting</w:t>
            </w:r>
          </w:p>
        </w:tc>
        <w:tc>
          <w:tcPr>
            <w:tcW w:type="dxa" w:w="3672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Accuracy and timeliness of reports/dashboards</w:t>
            </w:r>
          </w:p>
        </w:tc>
        <w:tc>
          <w:tcPr>
            <w:tcW w:type="dxa" w:w="316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On-time, error-free</w:t>
            </w:r>
          </w:p>
        </w:tc>
        <w:tc>
          <w:tcPr>
            <w:tcW w:type="dxa" w:w="100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15%</w:t>
            </w:r>
          </w:p>
        </w:tc>
      </w:tr>
      <w:tr>
        <w:tc>
          <w:tcPr>
            <w:tcW w:type="dxa" w:w="26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Vendor &amp; Cybersecurity Management</w:t>
            </w:r>
          </w:p>
        </w:tc>
        <w:tc>
          <w:tcPr>
            <w:tcW w:type="dxa" w:w="3672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Vendor delivery and security compliance</w:t>
            </w:r>
          </w:p>
        </w:tc>
        <w:tc>
          <w:tcPr>
            <w:tcW w:type="dxa" w:w="316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Zero major incidents, on-time delivery</w:t>
            </w:r>
          </w:p>
        </w:tc>
        <w:tc>
          <w:tcPr>
            <w:tcW w:type="dxa" w:w="100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15%</w:t>
            </w:r>
          </w:p>
        </w:tc>
      </w:tr>
      <w:tr>
        <w:tc>
          <w:tcPr>
            <w:tcW w:type="dxa" w:w="26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Cross-functional Training &amp; Adoption</w:t>
            </w:r>
          </w:p>
        </w:tc>
        <w:tc>
          <w:tcPr>
            <w:tcW w:type="dxa" w:w="3672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Training coverage and tool adoption</w:t>
            </w:r>
          </w:p>
        </w:tc>
        <w:tc>
          <w:tcPr>
            <w:tcW w:type="dxa" w:w="316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As per plan, high adoption rate</w:t>
            </w:r>
          </w:p>
        </w:tc>
        <w:tc>
          <w:tcPr>
            <w:tcW w:type="dxa" w:w="100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E4F0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10%</w:t>
            </w:r>
          </w:p>
        </w:tc>
      </w:tr>
      <w:tr>
        <w:tc>
          <w:tcPr>
            <w:tcW w:type="dxa" w:w="2664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Research Intelligence</w:t>
            </w:r>
          </w:p>
        </w:tc>
        <w:tc>
          <w:tcPr>
            <w:tcW w:type="dxa" w:w="3672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Quality/timeliness of research inputs</w:t>
            </w:r>
          </w:p>
        </w:tc>
        <w:tc>
          <w:tcPr>
            <w:tcW w:type="dxa" w:w="316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Actionable, timely insights</w:t>
            </w:r>
          </w:p>
        </w:tc>
        <w:tc>
          <w:tcPr>
            <w:tcW w:type="dxa" w:w="1008"/>
            <w:tcBorders>
              <w:top w:val="single" w:color="BCD6ED" w:sz="2"/>
              <w:left w:val="single" w:color="BCD6ED" w:sz="2"/>
              <w:bottom w:val="single" w:color="BCD6ED" w:sz="2"/>
              <w:right w:val="single" w:color="BCD6ED" w:sz="2"/>
            </w:tcBorders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2A3B"/>
                <w:sz w:val="15"/>
                <w:szCs w:val="15"/>
              </w:rPr>
              <w:t xml:space="preserve">10%</w:t>
            </w:r>
          </w:p>
        </w:tc>
      </w:tr>
    </w:tbl>
    <w:p>
      <w:pPr>
        <w:spacing w:after="60" w:before="0"/>
      </w:pPr>
    </w:p>
    <w:tbl>
      <w:tblPr>
        <w:tblW w:type="dxa" w:w="10512"/>
        <w:tblBorders>
          <w:top w:val="nil"/>
          <w:left w:val="nil"/>
          <w:bottom w:val="nil"/>
          <w:right w:val="nil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512"/>
            <w:tcBorders>
              <w:top w:val="nil"/>
              <w:left w:val="nil"/>
              <w:bottom w:val="nil"/>
              <w:right w:val="nil"/>
            </w:tcBorders>
            <w:shd w:fill="2375D4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Competencies We Are Looking For</w:t>
            </w:r>
          </w:p>
        </w:tc>
      </w:tr>
    </w:tbl>
    <w:p>
      <w:pPr>
        <w:spacing w:before="9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Strong understanding of AI, IT systems, and digital transformation practices.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Ability to identify practical, high-impact AI use cases for the business.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Strong stakeholder management across leadership and cross-functional teams.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Vendor management and negotiation skills.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Data-driven mindset with strong analytical ability.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Awareness of cybersecurity best practices and data protection.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1A2A3B"/>
          <w:sz w:val="15"/>
          <w:szCs w:val="15"/>
        </w:rPr>
        <w:t xml:space="preserve">Strong communication and training/facilitation skills.</w:t>
      </w:r>
    </w:p>
    <w:sectPr>
      <w:headerReference w:type="default" r:id="rId7"/>
      <w:pgSz w:w="12240" w:h="15840" w:orient="portrait"/>
      <w:pgMar w:top="850" w:right="720" w:bottom="2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238250" cy="4667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66374fb9e057802efb9db6401172412781a3ff4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2026-07-08T05:02:34.961Z</dcterms:created>
  <dcterms:modified xsi:type="dcterms:W3CDTF">2026-07-08T05:02:34.961Z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