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 SemiBold" w:cs="Roboto SemiBold" w:eastAsia="Roboto SemiBold" w:hAnsi="Roboto SemiBold"/>
          <w:color w:val="4a86e8"/>
          <w:sz w:val="30"/>
          <w:szCs w:val="30"/>
        </w:rPr>
      </w:pPr>
      <w:r w:rsidDel="00000000" w:rsidR="00000000" w:rsidRPr="00000000">
        <w:rPr>
          <w:rFonts w:ascii="Roboto SemiBold" w:cs="Roboto SemiBold" w:eastAsia="Roboto SemiBold" w:hAnsi="Roboto SemiBold"/>
          <w:color w:val="4a86e8"/>
          <w:sz w:val="30"/>
          <w:szCs w:val="30"/>
          <w:rtl w:val="0"/>
        </w:rPr>
        <w:t xml:space="preserve">Ai Marketing Landing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need a landing Like this Simple: https://www.acquisition.com/o-vegas </w:t>
        <w:br w:type="textWrapping"/>
        <w:br w:type="textWrapping"/>
        <w:t xml:space="preserve">Here Section: Animated at the beginning in to Hero section like Acq with </w:t>
        <w:br w:type="textWrapping"/>
        <w:t xml:space="preserve">H1: “SCALE YOUR REVENUE BY 300% WITH Ai AD” </w:t>
        <w:br w:type="textWrapping"/>
        <w:t xml:space="preserve">H2: We reverse-engineer the highest-converting ads frameworks to build your ads that get clints. </w:t>
        <w:br w:type="textWrapping"/>
        <w:br w:type="textWrapping"/>
        <w:t xml:space="preserve">Then video Section and under that CTA: I'm Ready to Scale</w:t>
        <w:br w:type="textWrapping"/>
        <w:t xml:space="preserve">Clour and system for this landing page: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https://colorkit.co/color-palette-generator/222222-0392C5-073E79/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t xml:space="preserve">Our logo need only in footer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32748" cy="153274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2748" cy="1532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00688" cy="394698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3946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 Section: Use this website Check out our work, where i want to upload different vid for the section. I will give the video later.</w:t>
        <w:br w:type="textWrapping"/>
        <w:t xml:space="preserve">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https://fraggellproductions.com/#scroll-work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88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3: Come up with a Head line </w:t>
        <w:br w:type="textWrapping"/>
        <w:t xml:space="preserve">Section #1: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 line : Elite Directors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You'll meet with our elite directors for a personalized strategy session. We'll map out the exact ad systems and frameworks to scale your business with AI-powered creatives.</w:t>
        <w:br w:type="textWrapping"/>
        <w:br w:type="textWrapping"/>
        <w:t xml:space="preserve">#2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Elite Scaling Framework: We'll break down how we think, operate, and scale — showing you how to think like an elite marketer so we can push your business to 300%+ growth.</w:t>
        <w:br w:type="textWrapping"/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#3: come up with a head line</w:t>
        <w:br w:type="textWrapping"/>
        <w:t xml:space="preserve">Massage: We'll understand about </w:t>
        <w:br w:type="textWrapping"/>
        <w:t xml:space="preserve">We’ll deep-dive into your specific niche to identify exactly what’s winning in your market right now. Then, we’ll build a custom AI workflow designed to generate viral, high-converting creatives on demand. You’ll leave with a localized Go-To-Market plan and the system to execute it.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04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four: What our Clint says</w:t>
        <w:br w:type="textWrapping"/>
        <w:t xml:space="preserve">Find Top Marketers review and put them as it is ours.</w:t>
        <w:br w:type="textWrapping"/>
        <w:br w:type="textWrapping"/>
        <w:t xml:space="preserve">Section 5: Embedded link for calendly </w:t>
        <w:br w:type="textWrapping"/>
        <w:t xml:space="preserve">Headline : Book Your Call </w:t>
        <w:br w:type="textWrapping"/>
        <w:t xml:space="preserve">Find a good subheadline that work well. </w:t>
        <w:br w:type="textWrapping"/>
        <w:br w:type="textWrapping"/>
        <w:t xml:space="preserve">Section 6: Frequently Asked Questions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 : What exactly is the "Elite Scaling Framework"?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sz w:val="24"/>
          <w:szCs w:val="24"/>
          <w:rtl w:val="0"/>
        </w:rPr>
        <w:t xml:space="preserve"> It’s our proprietary 3-step system: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Intelligence:</w:t>
      </w:r>
      <w:r w:rsidDel="00000000" w:rsidR="00000000" w:rsidRPr="00000000">
        <w:rPr>
          <w:sz w:val="24"/>
          <w:szCs w:val="24"/>
          <w:rtl w:val="0"/>
        </w:rPr>
        <w:t xml:space="preserve"> Analyzing your niche's top-performing data.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Creation:</w:t>
      </w:r>
      <w:r w:rsidDel="00000000" w:rsidR="00000000" w:rsidRPr="00000000">
        <w:rPr>
          <w:sz w:val="24"/>
          <w:szCs w:val="24"/>
          <w:rtl w:val="0"/>
        </w:rPr>
        <w:t xml:space="preserve"> Generating high-converting AI assets.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Execution:</w:t>
      </w:r>
      <w:r w:rsidDel="00000000" w:rsidR="00000000" w:rsidRPr="00000000">
        <w:rPr>
          <w:sz w:val="24"/>
          <w:szCs w:val="24"/>
          <w:rtl w:val="0"/>
        </w:rPr>
        <w:t xml:space="preserve"> Deploying a Go-To-Market plan that optimizes for the lowest CPA (Cost Per Acquisition) and highest scale.</w:t>
        <w:br w:type="textWrapping"/>
        <w:br w:type="textWrapping"/>
        <w:t xml:space="preserve">Q2: Doesn’t AI marketing look "fake" and robotic?</w:t>
        <w:br w:type="textWrapping"/>
        <w:t xml:space="preserve">Most of it does—and that’s why most AI ads fail. Cheap AI looks "uncanny," hurts brand trust, and results in bottom-tier conversion rates.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Our system is different.</w:t>
      </w:r>
      <w:r w:rsidDel="00000000" w:rsidR="00000000" w:rsidRPr="00000000">
        <w:rPr>
          <w:sz w:val="24"/>
          <w:szCs w:val="24"/>
          <w:rtl w:val="0"/>
        </w:rPr>
        <w:t xml:space="preserve"> We produce high-fidelity, professional-grade content that is indistinguishable from high-budget human production. Because our AI is trained on actual viral data and real human aesthetics, your brand stays premium while your creative output becomes limitless.</w:t>
        <w:br w:type="textWrapping"/>
        <w:br w:type="textWrapping"/>
        <w:t xml:space="preserve">Q3: What we do</w:t>
        <w:br w:type="textWrapping"/>
        <w:t xml:space="preserve">We are your full-scale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Growth &amp; Brand Partner.</w:t>
      </w:r>
      <w:r w:rsidDel="00000000" w:rsidR="00000000" w:rsidRPr="00000000">
        <w:rPr>
          <w:sz w:val="24"/>
          <w:szCs w:val="24"/>
          <w:rtl w:val="0"/>
        </w:rPr>
        <w:t xml:space="preserve"> We don’t just give you a login; we take over the heavy lifting. This includes: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Social Media Management:</w:t>
      </w:r>
      <w:r w:rsidDel="00000000" w:rsidR="00000000" w:rsidRPr="00000000">
        <w:rPr>
          <w:sz w:val="24"/>
          <w:szCs w:val="24"/>
          <w:rtl w:val="0"/>
        </w:rPr>
        <w:t xml:space="preserve"> We handle your organic presence and brand voice.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 Creative &amp; Strategy:</w:t>
      </w:r>
      <w:r w:rsidDel="00000000" w:rsidR="00000000" w:rsidRPr="00000000">
        <w:rPr>
          <w:sz w:val="24"/>
          <w:szCs w:val="24"/>
          <w:rtl w:val="0"/>
        </w:rPr>
        <w:t xml:space="preserve"> We design, test, and optimize every single ad.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Market Dominance:</w:t>
      </w:r>
      <w:r w:rsidDel="00000000" w:rsidR="00000000" w:rsidRPr="00000000">
        <w:rPr>
          <w:sz w:val="24"/>
          <w:szCs w:val="24"/>
          <w:rtl w:val="0"/>
        </w:rPr>
        <w:t xml:space="preserve"> We act as your outsourced CMO office, managing your brand's digital footprint so you can focus entirely on your operations.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Q4: Why choose this over a traditional agency</w:t>
        <w:br w:type="textWrapping"/>
        <w:t xml:space="preserve"> Traditional agencies are slow, expensive, and rely on "creative intuition" (guessing). We rely on data and speed.</w:t>
        <w:br w:type="textWrapping"/>
        <w:t xml:space="preserve"> Our system identifies exactly what is already winning in your market and replicates those triggers for your brand at a fraction of the cost of a traditional agency. You get elite-grade content, better conversion data, and the speed to scale that a manual human team simply cannot match.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hyperlink" Target="https://fraggellproductions.com/#scroll-work" TargetMode="External"/><Relationship Id="rId5" Type="http://schemas.openxmlformats.org/officeDocument/2006/relationships/styles" Target="styles.xml"/><Relationship Id="rId6" Type="http://schemas.openxmlformats.org/officeDocument/2006/relationships/hyperlink" Target="https://colorkit.co/color-palette-generator/222222-0392C5-073E79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miBold-regular.ttf"/><Relationship Id="rId2" Type="http://schemas.openxmlformats.org/officeDocument/2006/relationships/font" Target="fonts/RobotoSemiBold-bold.ttf"/><Relationship Id="rId3" Type="http://schemas.openxmlformats.org/officeDocument/2006/relationships/font" Target="fonts/RobotoSemiBold-italic.ttf"/><Relationship Id="rId4" Type="http://schemas.openxmlformats.org/officeDocument/2006/relationships/font" Target="fonts/Roboto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