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NEXATECH Student Monitor Go Live Expense Budget</w:t>
      </w:r>
    </w:p>
    <w:p>
      <w:pPr>
        <w:spacing w:before="0" w:after="240" w:line="259" w:lineRule="auto"/>
      </w:pPr>
      <w:r>
        <w:rPr>
          <w:rFonts w:ascii="Aptos" w:hAnsi="Aptos"/>
          <w:b/>
          <w:color w:val="16324F"/>
          <w:sz w:val="24"/>
        </w:rPr>
        <w:t>Approved launch package for one school</w:t>
      </w:r>
    </w:p>
    <w:p>
      <w:pPr>
        <w:spacing w:before="0" w:after="160" w:line="269" w:lineRule="auto"/>
      </w:pPr>
      <w:r>
        <w:rPr>
          <w:rFonts w:ascii="Aptos" w:hAnsi="Aptos"/>
          <w:color w:val="1A1A1A"/>
          <w:sz w:val="21"/>
        </w:rPr>
        <w:t>This budget assigns exact amounts for launching and operating NEXATECH Student Monitor for one school. The approved funding is US$425.40 for the first month and US$60.40 for each normal operating month after launch.</w:t>
      </w:r>
    </w:p>
    <w:p>
      <w:pPr>
        <w:spacing w:before="0" w:after="200" w:line="259" w:lineRule="auto"/>
      </w:pPr>
      <w:r>
        <w:rPr>
          <w:rFonts w:ascii="Aptos" w:hAnsi="Aptos"/>
          <w:b/>
          <w:color w:val="1A1A1A"/>
          <w:sz w:val="21"/>
        </w:rPr>
        <w:t xml:space="preserve">Fixed scope: </w:t>
      </w:r>
      <w:r>
        <w:rPr>
          <w:rFonts w:ascii="Aptos" w:hAnsi="Aptos"/>
          <w:color w:val="1A1A1A"/>
          <w:sz w:val="21"/>
        </w:rPr>
        <w:t>one production system, no more than 1,000 total data subjects, one business mailbox, up to 3,000 transactional emails per month, and 500 SMS messages per month.</w:t>
      </w:r>
    </w:p>
    <w:p>
      <w:pPr>
        <w:pStyle w:val="Heading1"/>
      </w:pPr>
      <w:r>
        <w:t>Approved Monthly Operating Expenses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376"/>
            <w:shd w:fill="16324F"/>
            <w:vAlign w:val="center"/>
            <w:tcMar>
              <w:top w:w="110" w:type="dxa"/>
              <w:start w:w="120" w:type="dxa"/>
              <w:bottom w:w="110" w:type="dxa"/>
              <w:end w:w="120" w:type="dxa"/>
            </w:tcMar>
          </w:tcPr>
          <w:p>
            <w:pPr>
              <w:spacing w:before="0" w:after="0" w:line="252" w:lineRule="auto"/>
              <w:jc w:val="left"/>
            </w:pPr>
            <w:r>
              <w:rPr>
                <w:rFonts w:ascii="Aptos" w:hAnsi="Aptos"/>
                <w:b/>
                <w:color w:val="FFFFFF"/>
                <w:sz w:val="18"/>
              </w:rPr>
              <w:t>Expense</w:t>
            </w:r>
          </w:p>
        </w:tc>
        <w:tc>
          <w:tcPr>
            <w:tcW w:type="dxa" w:w="6120"/>
            <w:shd w:fill="16324F"/>
            <w:vAlign w:val="center"/>
            <w:tcMar>
              <w:top w:w="110" w:type="dxa"/>
              <w:start w:w="120" w:type="dxa"/>
              <w:bottom w:w="110" w:type="dxa"/>
              <w:end w:w="120" w:type="dxa"/>
            </w:tcMar>
          </w:tcPr>
          <w:p>
            <w:pPr>
              <w:spacing w:before="0" w:after="0" w:line="252" w:lineRule="auto"/>
              <w:jc w:val="left"/>
            </w:pPr>
            <w:r>
              <w:rPr>
                <w:rFonts w:ascii="Aptos" w:hAnsi="Aptos"/>
                <w:b/>
                <w:color w:val="FFFFFF"/>
                <w:sz w:val="18"/>
              </w:rPr>
              <w:t>Included service</w:t>
            </w:r>
          </w:p>
        </w:tc>
        <w:tc>
          <w:tcPr>
            <w:tcW w:type="dxa" w:w="1656"/>
            <w:shd w:fill="16324F"/>
            <w:vAlign w:val="center"/>
            <w:tcMar>
              <w:top w:w="110" w:type="dxa"/>
              <w:start w:w="120" w:type="dxa"/>
              <w:bottom w:w="110" w:type="dxa"/>
              <w:end w:w="120" w:type="dxa"/>
            </w:tcMar>
          </w:tcPr>
          <w:p>
            <w:pPr>
              <w:spacing w:before="0" w:after="0" w:line="252" w:lineRule="auto"/>
              <w:jc w:val="right"/>
            </w:pPr>
            <w:r>
              <w:rPr>
                <w:rFonts w:ascii="Aptos" w:hAnsi="Aptos"/>
                <w:b/>
                <w:color w:val="FFFFFF"/>
                <w:sz w:val="18"/>
              </w:rPr>
              <w:t>Monthly USD</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Production hosting</w:t>
            </w:r>
          </w:p>
        </w:tc>
        <w:tc>
          <w:tcPr>
            <w:tcW w:type="dxa" w:w="6120"/>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Railway application, worker, MySQL and Redis</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$40.00</w:t>
            </w:r>
          </w:p>
        </w:tc>
      </w:tr>
      <w:tr>
        <w:tc>
          <w:tcPr>
            <w:tcW w:type="dxa" w:w="2376"/>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Business mailbox</w:t>
            </w:r>
          </w:p>
        </w:tc>
        <w:tc>
          <w:tcPr>
            <w:tcW w:type="dxa" w:w="6120"/>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One Google Workspace Business Starter mailbox</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$8.40</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Transactional email</w:t>
            </w:r>
          </w:p>
        </w:tc>
        <w:tc>
          <w:tcPr>
            <w:tcW w:type="dxa" w:w="6120"/>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Resend Free plan, maximum 3,000 emails per month</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$0.00</w:t>
            </w:r>
          </w:p>
        </w:tc>
      </w:tr>
      <w:tr>
        <w:tc>
          <w:tcPr>
            <w:tcW w:type="dxa" w:w="2376"/>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SMS messaging</w:t>
            </w:r>
          </w:p>
        </w:tc>
        <w:tc>
          <w:tcPr>
            <w:tcW w:type="dxa" w:w="6120"/>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Prepaid allowance for 500 local SMS messages</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$10.00</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Database recovery</w:t>
            </w:r>
          </w:p>
        </w:tc>
        <w:tc>
          <w:tcPr>
            <w:tcW w:type="dxa" w:w="6120"/>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Backup and recovery storage allocation</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$2.00</w:t>
            </w:r>
          </w:p>
        </w:tc>
      </w:tr>
      <w:tr>
        <w:tc>
          <w:tcPr>
            <w:tcW w:type="dxa" w:w="2376"/>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Uptime monitoring</w:t>
            </w:r>
          </w:p>
        </w:tc>
        <w:tc>
          <w:tcPr>
            <w:tcW w:type="dxa" w:w="6120"/>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Better Stack Free plan</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$0.00</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CAPTCHA protection</w:t>
            </w:r>
          </w:p>
        </w:tc>
        <w:tc>
          <w:tcPr>
            <w:tcW w:type="dxa" w:w="6120"/>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Cloudflare Turnstile Free plan</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$0.00</w:t>
            </w:r>
          </w:p>
        </w:tc>
      </w:tr>
      <w:tr>
        <w:tc>
          <w:tcPr>
            <w:tcW w:type="dxa" w:w="2376"/>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SSL and DNS</w:t>
            </w:r>
          </w:p>
        </w:tc>
        <w:tc>
          <w:tcPr>
            <w:tcW w:type="dxa" w:w="6120"/>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Cloudflare and Railway certificates and DNS</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$0.00</w:t>
            </w:r>
          </w:p>
        </w:tc>
      </w:tr>
      <w:tr>
        <w:tc>
          <w:tcPr>
            <w:tcW w:type="dxa" w:w="2376"/>
            <w:vAlign w:val="center"/>
            <w:tcMar>
              <w:top w:w="110" w:type="dxa"/>
              <w:start w:w="120" w:type="dxa"/>
              <w:bottom w:w="110" w:type="dxa"/>
              <w:end w:w="120" w:type="dxa"/>
            </w:tcMar>
            <w:shd w:fill="EDF4F8"/>
          </w:tcPr>
          <w:p>
            <w:pPr>
              <w:spacing w:before="0" w:after="0" w:line="252" w:lineRule="auto"/>
              <w:jc w:val="left"/>
            </w:pPr>
            <w:r>
              <w:rPr>
                <w:rFonts w:ascii="Aptos" w:hAnsi="Aptos"/>
                <w:b/>
                <w:color w:val="1A1A1A"/>
                <w:sz w:val="19"/>
              </w:rPr>
              <w:t>Monthly total</w:t>
            </w:r>
          </w:p>
        </w:tc>
        <w:tc>
          <w:tcPr>
            <w:tcW w:type="dxa" w:w="6120"/>
            <w:vAlign w:val="center"/>
            <w:tcMar>
              <w:top w:w="110" w:type="dxa"/>
              <w:start w:w="120" w:type="dxa"/>
              <w:bottom w:w="110" w:type="dxa"/>
              <w:end w:w="120" w:type="dxa"/>
            </w:tcMar>
            <w:shd w:fill="EDF4F8"/>
          </w:tcPr>
          <w:p>
            <w:pPr>
              <w:spacing w:before="0" w:after="0" w:line="252" w:lineRule="auto"/>
              <w:jc w:val="left"/>
            </w:pPr>
            <w:r>
              <w:rPr>
                <w:rFonts w:ascii="Aptos" w:hAnsi="Aptos"/>
                <w:b/>
                <w:color w:val="1A1A1A"/>
                <w:sz w:val="19"/>
              </w:rPr>
              <w:t>Approved recurring operating budget</w:t>
            </w:r>
          </w:p>
        </w:tc>
        <w:tc>
          <w:tcPr>
            <w:tcW w:type="dxa" w:w="1656"/>
            <w:vAlign w:val="center"/>
            <w:tcMar>
              <w:top w:w="110" w:type="dxa"/>
              <w:start w:w="120" w:type="dxa"/>
              <w:bottom w:w="110" w:type="dxa"/>
              <w:end w:w="120" w:type="dxa"/>
            </w:tcMar>
            <w:shd w:fill="EDF4F8"/>
          </w:tcPr>
          <w:p>
            <w:pPr>
              <w:spacing w:before="0" w:after="0" w:line="252" w:lineRule="auto"/>
              <w:jc w:val="right"/>
            </w:pPr>
            <w:r>
              <w:rPr>
                <w:rFonts w:ascii="Aptos" w:hAnsi="Aptos"/>
                <w:b/>
                <w:color w:val="1A1A1A"/>
                <w:sz w:val="19"/>
              </w:rPr>
              <w:t>$60.40</w:t>
            </w:r>
          </w:p>
        </w:tc>
      </w:tr>
    </w:tbl>
    <w:p>
      <w:pPr>
        <w:pStyle w:val="Heading1"/>
      </w:pPr>
      <w:r>
        <w:t>Launch and Annual Expenses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5976"/>
            <w:shd w:fill="16324F"/>
            <w:vAlign w:val="center"/>
            <w:tcMar>
              <w:top w:w="110" w:type="dxa"/>
              <w:start w:w="120" w:type="dxa"/>
              <w:bottom w:w="110" w:type="dxa"/>
              <w:end w:w="120" w:type="dxa"/>
            </w:tcMar>
          </w:tcPr>
          <w:p>
            <w:pPr>
              <w:spacing w:before="0" w:after="0" w:line="252" w:lineRule="auto"/>
              <w:jc w:val="left"/>
            </w:pPr>
            <w:r>
              <w:rPr>
                <w:rFonts w:ascii="Aptos" w:hAnsi="Aptos"/>
                <w:b/>
                <w:color w:val="FFFFFF"/>
                <w:sz w:val="18"/>
              </w:rPr>
              <w:t>Expense</w:t>
            </w:r>
          </w:p>
        </w:tc>
        <w:tc>
          <w:tcPr>
            <w:tcW w:type="dxa" w:w="2520"/>
            <w:shd w:fill="16324F"/>
            <w:vAlign w:val="center"/>
            <w:tcMar>
              <w:top w:w="110" w:type="dxa"/>
              <w:start w:w="120" w:type="dxa"/>
              <w:bottom w:w="110" w:type="dxa"/>
              <w:end w:w="120" w:type="dxa"/>
            </w:tcMar>
          </w:tcPr>
          <w:p>
            <w:pPr>
              <w:spacing w:before="0" w:after="0" w:line="252" w:lineRule="auto"/>
              <w:jc w:val="left"/>
            </w:pPr>
            <w:r>
              <w:rPr>
                <w:rFonts w:ascii="Aptos" w:hAnsi="Aptos"/>
                <w:b/>
                <w:color w:val="FFFFFF"/>
                <w:sz w:val="18"/>
              </w:rPr>
              <w:t>Frequency</w:t>
            </w:r>
          </w:p>
        </w:tc>
        <w:tc>
          <w:tcPr>
            <w:tcW w:type="dxa" w:w="1656"/>
            <w:shd w:fill="16324F"/>
            <w:vAlign w:val="center"/>
            <w:tcMar>
              <w:top w:w="110" w:type="dxa"/>
              <w:start w:w="120" w:type="dxa"/>
              <w:bottom w:w="110" w:type="dxa"/>
              <w:end w:w="120" w:type="dxa"/>
            </w:tcMar>
          </w:tcPr>
          <w:p>
            <w:pPr>
              <w:spacing w:before="0" w:after="0" w:line="252" w:lineRule="auto"/>
              <w:jc w:val="right"/>
            </w:pPr>
            <w:r>
              <w:rPr>
                <w:rFonts w:ascii="Aptos" w:hAnsi="Aptos"/>
                <w:b/>
                <w:color w:val="FFFFFF"/>
                <w:sz w:val="18"/>
              </w:rPr>
              <w:t>Amount USD</w:t>
            </w:r>
          </w:p>
        </w:tc>
      </w:tr>
      <w:tr>
        <w:tc>
          <w:tcPr>
            <w:tcW w:type="dxa" w:w="5976"/>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Domain registration</w:t>
            </w:r>
          </w:p>
        </w:tc>
        <w:tc>
          <w:tcPr>
            <w:tcW w:type="dxa" w:w="2520"/>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Annual</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$15.00</w:t>
            </w:r>
          </w:p>
        </w:tc>
      </w:tr>
      <w:tr>
        <w:tc>
          <w:tcPr>
            <w:tcW w:type="dxa" w:w="5976"/>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POTRAZ Tier 1 data controller licence</w:t>
            </w:r>
          </w:p>
        </w:tc>
        <w:tc>
          <w:tcPr>
            <w:tcW w:type="dxa" w:w="2520"/>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Annual</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$50.00</w:t>
            </w:r>
          </w:p>
        </w:tc>
      </w:tr>
      <w:tr>
        <w:tc>
          <w:tcPr>
            <w:tcW w:type="dxa" w:w="5976"/>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Zimbabwe privacy and contract review</w:t>
            </w:r>
          </w:p>
        </w:tc>
        <w:tc>
          <w:tcPr>
            <w:tcW w:type="dxa" w:w="2520"/>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Launch only</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$300.00</w:t>
            </w:r>
          </w:p>
        </w:tc>
      </w:tr>
      <w:tr>
        <w:tc>
          <w:tcPr>
            <w:tcW w:type="dxa" w:w="5976"/>
            <w:shd w:fill="EDF4F8"/>
            <w:vAlign w:val="center"/>
            <w:tcMar>
              <w:top w:w="110" w:type="dxa"/>
              <w:start w:w="120" w:type="dxa"/>
              <w:bottom w:w="110" w:type="dxa"/>
              <w:end w:w="120" w:type="dxa"/>
            </w:tcMar>
          </w:tcPr>
          <w:p>
            <w:pPr>
              <w:spacing w:before="0" w:after="0" w:line="252" w:lineRule="auto"/>
              <w:jc w:val="left"/>
            </w:pPr>
            <w:r>
              <w:rPr>
                <w:rFonts w:ascii="Aptos" w:hAnsi="Aptos"/>
                <w:b/>
                <w:color w:val="1A1A1A"/>
                <w:sz w:val="19"/>
              </w:rPr>
              <w:t>Launch expense total</w:t>
            </w:r>
          </w:p>
        </w:tc>
        <w:tc>
          <w:tcPr>
            <w:tcW w:type="dxa" w:w="2520"/>
            <w:shd w:fill="EDF4F8"/>
            <w:vAlign w:val="center"/>
            <w:tcMar>
              <w:top w:w="110" w:type="dxa"/>
              <w:start w:w="120" w:type="dxa"/>
              <w:bottom w:w="110" w:type="dxa"/>
              <w:end w:w="120" w:type="dxa"/>
            </w:tcMar>
          </w:tcPr>
          <w:p>
            <w:pPr>
              <w:spacing w:before="0" w:after="0" w:line="252" w:lineRule="auto"/>
              <w:jc w:val="left"/>
            </w:pPr>
            <w:r>
              <w:rPr>
                <w:rFonts w:ascii="Aptos" w:hAnsi="Aptos"/>
                <w:b/>
                <w:color w:val="1A1A1A"/>
                <w:sz w:val="19"/>
              </w:rPr>
              <w:t>Due before public onboarding</w:t>
            </w:r>
          </w:p>
        </w:tc>
        <w:tc>
          <w:tcPr>
            <w:tcW w:type="dxa" w:w="1656"/>
            <w:shd w:fill="EDF4F8"/>
            <w:vAlign w:val="center"/>
            <w:tcMar>
              <w:top w:w="110" w:type="dxa"/>
              <w:start w:w="120" w:type="dxa"/>
              <w:bottom w:w="110" w:type="dxa"/>
              <w:end w:w="120" w:type="dxa"/>
            </w:tcMar>
          </w:tcPr>
          <w:p>
            <w:pPr>
              <w:spacing w:before="0" w:after="0" w:line="252" w:lineRule="auto"/>
              <w:jc w:val="right"/>
            </w:pPr>
            <w:r>
              <w:rPr>
                <w:rFonts w:ascii="Aptos" w:hAnsi="Aptos"/>
                <w:b/>
                <w:color w:val="1A1A1A"/>
                <w:sz w:val="19"/>
              </w:rPr>
              <w:t>$365.00</w:t>
            </w:r>
          </w:p>
        </w:tc>
      </w:tr>
    </w:tbl>
    <w:p>
      <w:r>
        <w:br w:type="page"/>
      </w:r>
    </w:p>
    <w:p>
      <w:pPr>
        <w:pStyle w:val="Heading1"/>
      </w:pPr>
      <w:r>
        <w:t>Budget Totals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952"/>
            <w:shd w:fill="16324F"/>
            <w:vAlign w:val="center"/>
            <w:tcMar>
              <w:top w:w="110" w:type="dxa"/>
              <w:start w:w="120" w:type="dxa"/>
              <w:bottom w:w="110" w:type="dxa"/>
              <w:end w:w="120" w:type="dxa"/>
            </w:tcMar>
          </w:tcPr>
          <w:p>
            <w:pPr>
              <w:spacing w:before="0" w:after="0" w:line="252" w:lineRule="auto"/>
              <w:jc w:val="left"/>
            </w:pPr>
            <w:r>
              <w:rPr>
                <w:rFonts w:ascii="Aptos" w:hAnsi="Aptos"/>
                <w:b/>
                <w:color w:val="FFFFFF"/>
                <w:sz w:val="18"/>
              </w:rPr>
              <w:t>Budget period</w:t>
            </w:r>
          </w:p>
        </w:tc>
        <w:tc>
          <w:tcPr>
            <w:tcW w:type="dxa" w:w="5544"/>
            <w:shd w:fill="16324F"/>
            <w:vAlign w:val="center"/>
            <w:tcMar>
              <w:top w:w="110" w:type="dxa"/>
              <w:start w:w="120" w:type="dxa"/>
              <w:bottom w:w="110" w:type="dxa"/>
              <w:end w:w="120" w:type="dxa"/>
            </w:tcMar>
          </w:tcPr>
          <w:p>
            <w:pPr>
              <w:spacing w:before="0" w:after="0" w:line="252" w:lineRule="auto"/>
              <w:jc w:val="left"/>
            </w:pPr>
            <w:r>
              <w:rPr>
                <w:rFonts w:ascii="Aptos" w:hAnsi="Aptos"/>
                <w:b/>
                <w:color w:val="FFFFFF"/>
                <w:sz w:val="18"/>
              </w:rPr>
              <w:t>Calculation</w:t>
            </w:r>
          </w:p>
        </w:tc>
        <w:tc>
          <w:tcPr>
            <w:tcW w:type="dxa" w:w="1656"/>
            <w:shd w:fill="16324F"/>
            <w:vAlign w:val="center"/>
            <w:tcMar>
              <w:top w:w="110" w:type="dxa"/>
              <w:start w:w="120" w:type="dxa"/>
              <w:bottom w:w="110" w:type="dxa"/>
              <w:end w:w="120" w:type="dxa"/>
            </w:tcMar>
          </w:tcPr>
          <w:p>
            <w:pPr>
              <w:spacing w:before="0" w:after="0" w:line="252" w:lineRule="auto"/>
              <w:jc w:val="right"/>
            </w:pPr>
            <w:r>
              <w:rPr>
                <w:rFonts w:ascii="Aptos" w:hAnsi="Aptos"/>
                <w:b/>
                <w:color w:val="FFFFFF"/>
                <w:sz w:val="18"/>
              </w:rPr>
              <w:t>Total USD</w:t>
            </w:r>
          </w:p>
        </w:tc>
      </w:tr>
      <w:tr>
        <w:tc>
          <w:tcPr>
            <w:tcW w:type="dxa" w:w="2952"/>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First month cash requirement</w:t>
            </w:r>
          </w:p>
        </w:tc>
        <w:tc>
          <w:tcPr>
            <w:tcW w:type="dxa" w:w="5544"/>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$365.00 launch expenses plus $60.40 operations</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$425.40</w:t>
            </w:r>
          </w:p>
        </w:tc>
      </w:tr>
      <w:tr>
        <w:tc>
          <w:tcPr>
            <w:tcW w:type="dxa" w:w="2952"/>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Months 2 through 12</w:t>
            </w:r>
          </w:p>
        </w:tc>
        <w:tc>
          <w:tcPr>
            <w:tcW w:type="dxa" w:w="5544"/>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$60.40 each month for 11 months</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$664.40</w:t>
            </w:r>
          </w:p>
        </w:tc>
      </w:tr>
      <w:tr>
        <w:tc>
          <w:tcPr>
            <w:tcW w:type="dxa" w:w="2952"/>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First year total</w:t>
            </w:r>
          </w:p>
        </w:tc>
        <w:tc>
          <w:tcPr>
            <w:tcW w:type="dxa" w:w="5544"/>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Complete launch year</w:t>
            </w:r>
          </w:p>
        </w:tc>
        <w:tc>
          <w:tcPr>
            <w:tcW w:type="dxa" w:w="1656"/>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$1,089.80</w:t>
            </w:r>
          </w:p>
        </w:tc>
      </w:tr>
      <w:tr>
        <w:tc>
          <w:tcPr>
            <w:tcW w:type="dxa" w:w="2952"/>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Year 2 baseline</w:t>
            </w:r>
          </w:p>
        </w:tc>
        <w:tc>
          <w:tcPr>
            <w:tcW w:type="dxa" w:w="5544"/>
            <w:shd w:fill="F5F6F7"/>
            <w:vAlign w:val="center"/>
            <w:tcMar>
              <w:top w:w="110" w:type="dxa"/>
              <w:start w:w="120" w:type="dxa"/>
              <w:bottom w:w="110" w:type="dxa"/>
              <w:end w:w="120" w:type="dxa"/>
            </w:tcMar>
          </w:tcPr>
          <w:p>
            <w:pPr>
              <w:spacing w:before="0" w:after="0" w:line="252" w:lineRule="auto"/>
              <w:jc w:val="left"/>
            </w:pPr>
            <w:r>
              <w:rPr>
                <w:rFonts w:ascii="Aptos" w:hAnsi="Aptos"/>
                <w:b w:val="0"/>
                <w:color w:val="1A1A1A"/>
                <w:sz w:val="19"/>
              </w:rPr>
              <w:t>$724.80 operations plus $65 annual renewals</w:t>
            </w:r>
          </w:p>
        </w:tc>
        <w:tc>
          <w:tcPr>
            <w:tcW w:type="dxa" w:w="1656"/>
            <w:shd w:fill="F5F6F7"/>
            <w:vAlign w:val="center"/>
            <w:tcMar>
              <w:top w:w="110" w:type="dxa"/>
              <w:start w:w="120" w:type="dxa"/>
              <w:bottom w:w="110" w:type="dxa"/>
              <w:end w:w="120" w:type="dxa"/>
            </w:tcMar>
          </w:tcPr>
          <w:p>
            <w:pPr>
              <w:spacing w:before="0" w:after="0" w:line="252" w:lineRule="auto"/>
              <w:jc w:val="right"/>
            </w:pPr>
            <w:r>
              <w:rPr>
                <w:rFonts w:ascii="Aptos" w:hAnsi="Aptos"/>
                <w:b w:val="0"/>
                <w:color w:val="1A1A1A"/>
                <w:sz w:val="19"/>
              </w:rPr>
              <w:t>$789.80</w:t>
            </w:r>
          </w:p>
        </w:tc>
      </w:tr>
    </w:tbl>
    <w:p>
      <w:pPr>
        <w:pStyle w:val="Heading1"/>
      </w:pPr>
      <w:r>
        <w:t>Financial Rules</w:t>
      </w:r>
    </w:p>
    <w:p>
      <w:pPr>
        <w:pStyle w:val="ListBullet"/>
        <w:spacing w:before="0" w:after="60" w:line="264" w:lineRule="auto"/>
      </w:pPr>
      <w:r>
        <w:rPr>
          <w:rFonts w:ascii="Aptos" w:hAnsi="Aptos"/>
          <w:b/>
          <w:color w:val="1A1A1A"/>
          <w:sz w:val="21"/>
        </w:rPr>
        <w:t>Hosting allocation:</w:t>
      </w:r>
      <w:r>
        <w:rPr>
          <w:rFonts w:ascii="Aptos" w:hAnsi="Aptos"/>
          <w:color w:val="1A1A1A"/>
          <w:sz w:val="21"/>
        </w:rPr>
        <w:t xml:space="preserve"> Railway spending is limited to the approved $40.00 monthly infrastructure budget.</w:t>
      </w:r>
    </w:p>
    <w:p>
      <w:pPr>
        <w:pStyle w:val="ListBullet"/>
        <w:spacing w:before="0" w:after="60" w:line="264" w:lineRule="auto"/>
      </w:pPr>
      <w:r>
        <w:rPr>
          <w:rFonts w:ascii="Aptos" w:hAnsi="Aptos"/>
          <w:b/>
          <w:color w:val="1A1A1A"/>
          <w:sz w:val="21"/>
        </w:rPr>
        <w:t>SMS limit:</w:t>
      </w:r>
      <w:r>
        <w:rPr>
          <w:rFonts w:ascii="Aptos" w:hAnsi="Aptos"/>
          <w:color w:val="1A1A1A"/>
          <w:sz w:val="21"/>
        </w:rPr>
        <w:t xml:space="preserve"> The system may send no more than 500 prepaid SMS messages in a month without a new approval.</w:t>
      </w:r>
    </w:p>
    <w:p>
      <w:pPr>
        <w:pStyle w:val="ListBullet"/>
        <w:spacing w:before="0" w:after="60" w:line="264" w:lineRule="auto"/>
      </w:pPr>
      <w:r>
        <w:rPr>
          <w:rFonts w:ascii="Aptos" w:hAnsi="Aptos"/>
          <w:b/>
          <w:color w:val="1A1A1A"/>
          <w:sz w:val="21"/>
        </w:rPr>
        <w:t>Payment fees:</w:t>
      </w:r>
      <w:r>
        <w:rPr>
          <w:rFonts w:ascii="Aptos" w:hAnsi="Aptos"/>
          <w:color w:val="1A1A1A"/>
          <w:sz w:val="21"/>
        </w:rPr>
        <w:t xml:space="preserve"> Paynow transaction fees are added to the payer's transaction and are not charged to this operating budget.</w:t>
      </w:r>
    </w:p>
    <w:p>
      <w:pPr>
        <w:pStyle w:val="ListBullet"/>
        <w:spacing w:before="0" w:after="60" w:line="264" w:lineRule="auto"/>
      </w:pPr>
      <w:r>
        <w:rPr>
          <w:rFonts w:ascii="Aptos" w:hAnsi="Aptos"/>
          <w:b/>
          <w:color w:val="1A1A1A"/>
          <w:sz w:val="21"/>
        </w:rPr>
        <w:t>Email limit:</w:t>
      </w:r>
      <w:r>
        <w:rPr>
          <w:rFonts w:ascii="Aptos" w:hAnsi="Aptos"/>
          <w:color w:val="1A1A1A"/>
          <w:sz w:val="21"/>
        </w:rPr>
        <w:t xml:space="preserve"> Resend remains on the free plan and must stay within 3,000 emails per month and 100 emails per day.</w:t>
      </w:r>
    </w:p>
    <w:p>
      <w:pPr>
        <w:pStyle w:val="ListBullet"/>
        <w:spacing w:before="0" w:after="60" w:line="264" w:lineRule="auto"/>
      </w:pPr>
      <w:r>
        <w:rPr>
          <w:rFonts w:ascii="Aptos" w:hAnsi="Aptos"/>
          <w:b/>
          <w:color w:val="1A1A1A"/>
          <w:sz w:val="21"/>
        </w:rPr>
        <w:t>Scope control:</w:t>
      </w:r>
      <w:r>
        <w:rPr>
          <w:rFonts w:ascii="Aptos" w:hAnsi="Aptos"/>
          <w:color w:val="1A1A1A"/>
          <w:sz w:val="21"/>
        </w:rPr>
        <w:t xml:space="preserve"> A second school or more than 1,000 data subjects requires a new operating budget and licensing review.</w:t>
      </w:r>
    </w:p>
    <w:p>
      <w:pPr>
        <w:pStyle w:val="ListBullet"/>
        <w:spacing w:before="0" w:after="60" w:line="264" w:lineRule="auto"/>
      </w:pPr>
      <w:r>
        <w:rPr>
          <w:rFonts w:ascii="Aptos" w:hAnsi="Aptos"/>
          <w:b/>
          <w:color w:val="1A1A1A"/>
          <w:sz w:val="21"/>
        </w:rPr>
        <w:t>No hidden contingency:</w:t>
      </w:r>
      <w:r>
        <w:rPr>
          <w:rFonts w:ascii="Aptos" w:hAnsi="Aptos"/>
          <w:color w:val="1A1A1A"/>
          <w:sz w:val="21"/>
        </w:rPr>
        <w:t xml:space="preserve"> Spending above any line in this document requires written approval before purchase.</w:t>
      </w:r>
    </w:p>
    <w:p>
      <w:pPr>
        <w:pStyle w:val="Heading1"/>
      </w:pPr>
      <w:r>
        <w:t>What This Budget Delivers</w:t>
      </w:r>
    </w:p>
    <w:p>
      <w:pPr>
        <w:spacing w:before="0" w:after="160" w:line="269" w:lineRule="auto"/>
      </w:pPr>
      <w:r>
        <w:rPr>
          <w:rFonts w:ascii="Aptos" w:hAnsi="Aptos"/>
          <w:color w:val="1A1A1A"/>
          <w:sz w:val="21"/>
        </w:rPr>
        <w:t>The approved package provides a custom domain, HTTPS, production hosting, a MySQL database, Redis queues, scheduled processing, one professional email inbox, transactional email, 500 monthly SMS messages, backups, monitoring, CAPTCHA protection, and launch compliance review. It does not include additional schools, paid advertising, custom mobile applications, staff devices, internet connectivity, or payment transaction charges.</w:t>
      </w:r>
    </w:p>
    <w:p>
      <w:pPr>
        <w:pStyle w:val="Heading1"/>
      </w:pPr>
      <w:r>
        <w:t>Pricing Sources</w:t>
      </w:r>
    </w:p>
    <w:p>
      <w:pPr>
        <w:spacing w:before="0" w:after="100" w:line="252" w:lineRule="auto"/>
        <w:ind w:left="259" w:hanging="259"/>
      </w:pPr>
      <w:r>
        <w:rPr>
          <w:rFonts w:ascii="Aptos" w:hAnsi="Aptos"/>
          <w:b/>
          <w:color w:val="1A1A1A"/>
          <w:sz w:val="17"/>
        </w:rPr>
        <w:t xml:space="preserve">1. Railway. </w:t>
      </w:r>
      <w:r>
        <w:rPr>
          <w:rFonts w:ascii="Aptos" w:hAnsi="Aptos"/>
          <w:color w:val="5F6B76"/>
          <w:sz w:val="17"/>
        </w:rPr>
        <w:t>Pro plan and usage-based infrastructure pricing. https://docs.railway.com/pricing/plans</w:t>
      </w:r>
    </w:p>
    <w:p>
      <w:pPr>
        <w:spacing w:before="0" w:after="100" w:line="252" w:lineRule="auto"/>
        <w:ind w:left="259" w:hanging="259"/>
      </w:pPr>
      <w:r>
        <w:rPr>
          <w:rFonts w:ascii="Aptos" w:hAnsi="Aptos"/>
          <w:b/>
          <w:color w:val="1A1A1A"/>
          <w:sz w:val="17"/>
        </w:rPr>
        <w:t xml:space="preserve">2. Google Workspace. </w:t>
      </w:r>
      <w:r>
        <w:rPr>
          <w:rFonts w:ascii="Aptos" w:hAnsi="Aptos"/>
          <w:color w:val="5F6B76"/>
          <w:sz w:val="17"/>
        </w:rPr>
        <w:t>Business Starter flexible plan at $8.40 per user per month. https://knowledge.workspace.google.com/admin/billing/compare-flexible-and-annual-fixed-term-payment-plans</w:t>
      </w:r>
    </w:p>
    <w:p>
      <w:pPr>
        <w:spacing w:before="0" w:after="100" w:line="252" w:lineRule="auto"/>
        <w:ind w:left="259" w:hanging="259"/>
      </w:pPr>
      <w:r>
        <w:rPr>
          <w:rFonts w:ascii="Aptos" w:hAnsi="Aptos"/>
          <w:b/>
          <w:color w:val="1A1A1A"/>
          <w:sz w:val="17"/>
        </w:rPr>
        <w:t xml:space="preserve">3. Resend. </w:t>
      </w:r>
      <w:r>
        <w:rPr>
          <w:rFonts w:ascii="Aptos" w:hAnsi="Aptos"/>
          <w:color w:val="5F6B76"/>
          <w:sz w:val="17"/>
        </w:rPr>
        <w:t>Free transactional email plan with 3,000 emails per month and a 100-email daily limit. https://resend.com/pricing</w:t>
      </w:r>
    </w:p>
    <w:p>
      <w:pPr>
        <w:spacing w:before="0" w:after="100" w:line="252" w:lineRule="auto"/>
        <w:ind w:left="259" w:hanging="259"/>
      </w:pPr>
      <w:r>
        <w:rPr>
          <w:rFonts w:ascii="Aptos" w:hAnsi="Aptos"/>
          <w:b/>
          <w:color w:val="1A1A1A"/>
          <w:sz w:val="17"/>
        </w:rPr>
        <w:t xml:space="preserve">4. SMSPoP Zimbabwe. </w:t>
      </w:r>
      <w:r>
        <w:rPr>
          <w:rFonts w:ascii="Aptos" w:hAnsi="Aptos"/>
          <w:color w:val="5F6B76"/>
          <w:sz w:val="17"/>
        </w:rPr>
        <w:t>Prepaid package of 500 SMS credits for $10. https://www.smspop.co.zw/pricing</w:t>
      </w:r>
    </w:p>
    <w:p>
      <w:pPr>
        <w:spacing w:before="0" w:after="100" w:line="252" w:lineRule="auto"/>
        <w:ind w:left="259" w:hanging="259"/>
      </w:pPr>
      <w:r>
        <w:rPr>
          <w:rFonts w:ascii="Aptos" w:hAnsi="Aptos"/>
          <w:b/>
          <w:color w:val="1A1A1A"/>
          <w:sz w:val="17"/>
        </w:rPr>
        <w:t xml:space="preserve">5. Cloudflare. </w:t>
      </w:r>
      <w:r>
        <w:rPr>
          <w:rFonts w:ascii="Aptos" w:hAnsi="Aptos"/>
          <w:color w:val="5F6B76"/>
          <w:sz w:val="17"/>
        </w:rPr>
        <w:t>At-cost domain registration, DNS and SSL services. https://developers.cloudflare.com/registrar/</w:t>
      </w:r>
    </w:p>
    <w:p>
      <w:pPr>
        <w:spacing w:before="0" w:after="100" w:line="252" w:lineRule="auto"/>
        <w:ind w:left="259" w:hanging="259"/>
      </w:pPr>
      <w:r>
        <w:rPr>
          <w:rFonts w:ascii="Aptos" w:hAnsi="Aptos"/>
          <w:b/>
          <w:color w:val="1A1A1A"/>
          <w:sz w:val="17"/>
        </w:rPr>
        <w:t xml:space="preserve">6. Better Stack. </w:t>
      </w:r>
      <w:r>
        <w:rPr>
          <w:rFonts w:ascii="Aptos" w:hAnsi="Aptos"/>
          <w:color w:val="5F6B76"/>
          <w:sz w:val="17"/>
        </w:rPr>
        <w:t>Free uptime monitors and heartbeat monitoring. https://betterstack.com/uptime</w:t>
      </w:r>
    </w:p>
    <w:p>
      <w:pPr>
        <w:spacing w:before="0" w:after="100" w:line="252" w:lineRule="auto"/>
        <w:ind w:left="259" w:hanging="259"/>
      </w:pPr>
      <w:r>
        <w:rPr>
          <w:rFonts w:ascii="Aptos" w:hAnsi="Aptos"/>
          <w:b/>
          <w:color w:val="1A1A1A"/>
          <w:sz w:val="17"/>
        </w:rPr>
        <w:t xml:space="preserve">7. POTRAZ. </w:t>
      </w:r>
      <w:r>
        <w:rPr>
          <w:rFonts w:ascii="Aptos" w:hAnsi="Aptos"/>
          <w:color w:val="5F6B76"/>
          <w:sz w:val="17"/>
        </w:rPr>
        <w:t>Tier 1 data controller licence fee of $50. https://www.potraz.gov.zw/wp-content/uploads/2025/02/sI-155-of-2024-Cyber-and-Data-Protection-Normal_240913_1250178.pdf</w:t>
      </w:r>
    </w:p>
    <w:p>
      <w:pPr>
        <w:spacing w:before="0" w:after="100" w:line="252" w:lineRule="auto"/>
        <w:ind w:left="259" w:hanging="259"/>
      </w:pPr>
      <w:r>
        <w:rPr>
          <w:rFonts w:ascii="Aptos" w:hAnsi="Aptos"/>
          <w:b/>
          <w:color w:val="1A1A1A"/>
          <w:sz w:val="17"/>
        </w:rPr>
        <w:t xml:space="preserve">8. Paynow. </w:t>
      </w:r>
      <w:r>
        <w:rPr>
          <w:rFonts w:ascii="Aptos" w:hAnsi="Aptos"/>
          <w:color w:val="5F6B76"/>
          <w:sz w:val="17"/>
        </w:rPr>
        <w:t>Transaction fees can be added to the payer rather than absorbed by the platform. https://www.paynow.co.zw/Home/Fees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6"/>
        <w:sz w:val="16"/>
      </w:rPr>
      <w:t>Go Live Expense Budget  |  21 October 2026  |  USD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6"/>
        <w:sz w:val="16"/>
      </w:rPr>
      <w:t>NEXATECH STUDENT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NEXATECH Student Monitor Go Live Expense Budget</dc:title>
  <dc:subject>Fixed launch and operating budget</dc:subject>
  <dc:creator>NEXATECH</dc:creator>
  <cp:keywords>NEXATECH, expenses, hosting, deployment, budget</cp:keywords>
  <dc:description>generated by python-docx</dc:description>
  <cp:lastModifiedBy/>
  <cp:revision>1</cp:revision>
  <dcterms:created xsi:type="dcterms:W3CDTF">2013-12-23T23:15:00Z</dcterms:created>
  <dcterms:modified xsi:type="dcterms:W3CDTF">2013-12-23T23:15:00Z</dcterms:modified>
  <cp:category/>
</cp:coreProperties>
</file>