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Nexatech School Pilot Proposal and Budget</w:t>
      </w:r>
    </w:p>
    <w:p>
      <w:pPr>
        <w:spacing w:before="0" w:after="240" w:line="264" w:lineRule="auto"/>
      </w:pPr>
      <w:r>
        <w:rPr>
          <w:rFonts w:ascii="Aptos" w:hAnsi="Aptos"/>
          <w:b/>
          <w:color w:val="0B6FA4"/>
          <w:sz w:val="24"/>
        </w:rPr>
        <w:t>A 30-day evaluation of student records, marks, results, and attendance</w:t>
      </w:r>
    </w:p>
    <w:p>
      <w:pPr>
        <w:spacing w:before="0" w:after="140" w:line="269" w:lineRule="auto"/>
      </w:pPr>
      <w:r>
        <w:rPr>
          <w:rFonts w:ascii="Aptos" w:hAnsi="Aptos"/>
          <w:b w:val="0"/>
          <w:color w:val="17232E"/>
          <w:sz w:val="20"/>
        </w:rPr>
        <w:t>Nexatech is a school operations platform that brings routine administrative and academic work into one controlled system. Staff capture information once, authorized users retrieve it when needed, and the school keeps a clearer operational record.</w:t>
      </w:r>
    </w:p>
    <w:p>
      <w:pPr>
        <w:spacing w:before="0" w:after="140" w:line="269" w:lineRule="auto"/>
      </w:pPr>
      <w:r>
        <w:rPr>
          <w:rFonts w:ascii="Aptos" w:hAnsi="Aptos"/>
          <w:b w:val="0"/>
          <w:color w:val="17232E"/>
          <w:sz w:val="20"/>
        </w:rPr>
        <w:t>This proposal recommends a focused 30-day pilot. The school can test the system using an agreed data set, named staff, measurable workflows, and a defined budget before deciding on a wider rollout.</w:t>
      </w:r>
    </w:p>
    <w:p>
      <w:pPr>
        <w:pStyle w:val="Heading1"/>
      </w:pPr>
      <w:r>
        <w:t>Recommended Offer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6DEE5"/>
          <w:left w:val="single" w:sz="6" w:color="D6DEE5"/>
          <w:bottom w:val="single" w:sz="6" w:color="D6DEE5"/>
          <w:right w:val="single" w:sz="6" w:color="D6DEE5"/>
          <w:insideH w:val="single" w:sz="6" w:color="D6DEE5"/>
          <w:insideV w:val="single" w:sz="6" w:color="D6DEE5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408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1944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Recommended price</w:t>
            </w:r>
          </w:p>
        </w:tc>
      </w:tr>
      <w:tr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30-day pilot</w:t>
            </w:r>
          </w:p>
        </w:tc>
        <w:tc>
          <w:tcPr>
            <w:tcW w:type="dxa" w:w="640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Configuration, one clean import, one administrator, up to 10 teachers, training, 30-day pilot hosting, database, backups, and support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US$299 once</w:t>
            </w:r>
          </w:p>
        </w:tc>
      </w:tr>
      <w:tr>
        <w:tc>
          <w:tcPr>
            <w:tcW w:type="dxa" w:w="1944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Academic plan</w:t>
            </w:r>
          </w:p>
        </w:tc>
        <w:tc>
          <w:tcPr>
            <w:tcW w:type="dxa" w:w="6408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Up to 500 active learners, records, Fast Marks, assessments, results, report cards, attendance, and exports</w:t>
            </w:r>
          </w:p>
        </w:tc>
        <w:tc>
          <w:tcPr>
            <w:tcW w:type="dxa" w:w="1944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US$179 per month</w:t>
            </w:r>
          </w:p>
        </w:tc>
      </w:tr>
      <w:tr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Operations plan</w:t>
            </w:r>
          </w:p>
        </w:tc>
        <w:tc>
          <w:tcPr>
            <w:tcW w:type="dxa" w:w="640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Academic plan plus finance, timetable, communications, behaviour, parent portal, and priority support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US$299 per month</w:t>
            </w:r>
          </w:p>
        </w:tc>
      </w:tr>
      <w:tr>
        <w:tc>
          <w:tcPr>
            <w:tcW w:type="dxa" w:w="1944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Public API access</w:t>
            </w:r>
          </w:p>
        </w:tc>
        <w:tc>
          <w:tcPr>
            <w:tcW w:type="dxa" w:w="6408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One documented integration, scoped credentials, logs, standard rate limit, and key rotation support</w:t>
            </w:r>
          </w:p>
        </w:tc>
        <w:tc>
          <w:tcPr>
            <w:tcW w:type="dxa" w:w="1944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US$49 per month</w:t>
            </w:r>
          </w:p>
        </w:tc>
      </w:tr>
      <w:tr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Managed domain and hosting</w:t>
            </w:r>
          </w:p>
        </w:tc>
        <w:tc>
          <w:tcPr>
            <w:tcW w:type="dxa" w:w="640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Railway deployment, custom domain, HTTPS, standard service monitoring, and routine platform maintenance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US$50 per month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rFonts w:ascii="Aptos" w:hAnsi="Aptos"/>
          <w:b/>
          <w:color w:val="17232E"/>
          <w:sz w:val="20"/>
        </w:rPr>
        <w:t>Pilot fee credit:</w:t>
      </w:r>
      <w:r>
        <w:rPr>
          <w:rFonts w:ascii="Aptos" w:hAnsi="Aptos"/>
          <w:b w:val="0"/>
          <w:color w:val="17232E"/>
          <w:sz w:val="20"/>
        </w:rPr>
        <w:t xml:space="preserve"> if the school signs the Academic or Operations plan within 14 days of the pilot review, apply the US$299 pilot fee toward the standard US$350 onboarding charge.</w:t>
      </w:r>
    </w:p>
    <w:p>
      <w:pPr>
        <w:spacing w:before="0" w:after="140" w:line="269" w:lineRule="auto"/>
      </w:pPr>
      <w:r>
        <w:rPr>
          <w:rFonts w:ascii="Aptos" w:hAnsi="Aptos"/>
          <w:b/>
          <w:color w:val="17232E"/>
          <w:sz w:val="20"/>
        </w:rPr>
        <w:t>Separate charges:</w:t>
      </w:r>
      <w:r>
        <w:rPr>
          <w:rFonts w:ascii="Aptos" w:hAnsi="Aptos"/>
          <w:b w:val="0"/>
          <w:color w:val="17232E"/>
          <w:sz w:val="20"/>
        </w:rPr>
        <w:t xml:space="preserve"> SMS, email, payment-provider charges, taxes, complex historical data cleaning, custom integrations, and dedicated database resources are quoted separately.</w:t>
      </w:r>
    </w:p>
    <w:p>
      <w:pPr>
        <w:pStyle w:val="Heading1"/>
      </w:pPr>
      <w:r>
        <w:t>What the School Will See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An operational dashboard showing student and billing information.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A searchable student register with role-controlled actions.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Fast Marks for class, subject, term, assessment, and roster-based entry.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Class results and rankings that staff can retrieve by term and year.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Attendance registers with status and remarks.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A route into finance, timetables, communications, behaviour, examinations, report cards, and parent access.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" name="Picture 1" descr="Operational dashboard using synthetic Greenwood Academy demonstration data" title="Operational dashboard using synthetic Greenwood Academy demonstration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Aptos" w:hAnsi="Aptos"/>
          <w:b w:val="0"/>
          <w:color w:val="5B6772"/>
          <w:sz w:val="17"/>
        </w:rPr>
        <w:t>Operational dashboard using synthetic Greenwood Academy demonstration data</w:t>
      </w:r>
    </w:p>
    <w:p>
      <w:pPr>
        <w:pStyle w:val="Heading1"/>
      </w:pPr>
      <w:r>
        <w:t>Pilot Demonstration Agenda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6DEE5"/>
          <w:left w:val="single" w:sz="6" w:color="D6DEE5"/>
          <w:bottom w:val="single" w:sz="6" w:color="D6DEE5"/>
          <w:right w:val="single" w:sz="6" w:color="D6DEE5"/>
          <w:insideH w:val="single" w:sz="6" w:color="D6DEE5"/>
          <w:insideV w:val="single" w:sz="6" w:color="D6DEE5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5256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Demonstration</w:t>
            </w:r>
          </w:p>
        </w:tc>
        <w:tc>
          <w:tcPr>
            <w:tcW w:type="dxa" w:w="3600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point</w:t>
            </w:r>
          </w:p>
        </w:tc>
      </w:tr>
      <w:tr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5 minutes</w:t>
            </w:r>
          </w:p>
        </w:tc>
        <w:tc>
          <w:tcPr>
            <w:tcW w:type="dxa" w:w="525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Current school process and agreed pilot problem</w:t>
            </w:r>
          </w:p>
        </w:tc>
        <w:tc>
          <w:tcPr>
            <w:tcW w:type="dxa" w:w="36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Confirm the workflow that matters most</w:t>
            </w:r>
          </w:p>
        </w:tc>
      </w:tr>
      <w:tr>
        <w:tc>
          <w:tcPr>
            <w:tcW w:type="dxa" w:w="144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5 minutes</w:t>
            </w:r>
          </w:p>
        </w:tc>
        <w:tc>
          <w:tcPr>
            <w:tcW w:type="dxa" w:w="525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Role-based login, navigation, and student register</w:t>
            </w:r>
          </w:p>
        </w:tc>
        <w:tc>
          <w:tcPr>
            <w:tcW w:type="dxa" w:w="360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Confirm users and access boundaries</w:t>
            </w:r>
          </w:p>
        </w:tc>
      </w:tr>
      <w:tr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10 minutes</w:t>
            </w:r>
          </w:p>
        </w:tc>
        <w:tc>
          <w:tcPr>
            <w:tcW w:type="dxa" w:w="525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Fast Marks entry and safe retrieval</w:t>
            </w:r>
          </w:p>
        </w:tc>
        <w:tc>
          <w:tcPr>
            <w:tcW w:type="dxa" w:w="36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Confirm required assessment process</w:t>
            </w:r>
          </w:p>
        </w:tc>
      </w:tr>
      <w:tr>
        <w:tc>
          <w:tcPr>
            <w:tcW w:type="dxa" w:w="144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5 minutes</w:t>
            </w:r>
          </w:p>
        </w:tc>
        <w:tc>
          <w:tcPr>
            <w:tcW w:type="dxa" w:w="525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Class results and attendance</w:t>
            </w:r>
          </w:p>
        </w:tc>
        <w:tc>
          <w:tcPr>
            <w:tcW w:type="dxa" w:w="360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Confirm reporting and register expectations</w:t>
            </w:r>
          </w:p>
        </w:tc>
      </w:tr>
      <w:tr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5 minutes</w:t>
            </w:r>
          </w:p>
        </w:tc>
        <w:tc>
          <w:tcPr>
            <w:tcW w:type="dxa" w:w="525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Pilot scope, budget, data preparation, and next steps</w:t>
            </w:r>
          </w:p>
        </w:tc>
        <w:tc>
          <w:tcPr>
            <w:tcW w:type="dxa" w:w="36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Nominate school lead and pilot dates</w:t>
            </w:r>
          </w:p>
        </w:tc>
      </w:tr>
    </w:tbl>
    <w:p>
      <w:pPr>
        <w:spacing w:after="20"/>
      </w:pP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" name="Picture 2" descr="Fast Marks demonstration with synthetic class and assessment records" title="Fast Marks demonstration with synthetic class and assessment reco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ast-mar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Aptos" w:hAnsi="Aptos"/>
          <w:b w:val="0"/>
          <w:color w:val="5B6772"/>
          <w:sz w:val="17"/>
        </w:rPr>
        <w:t>Fast Marks demonstration with synthetic class and assessment records</w:t>
      </w:r>
    </w:p>
    <w:p>
      <w:pPr>
        <w:pStyle w:val="Heading1"/>
      </w:pPr>
      <w:r>
        <w:t>Pilot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6DEE5"/>
          <w:left w:val="single" w:sz="6" w:color="D6DEE5"/>
          <w:bottom w:val="single" w:sz="6" w:color="D6DEE5"/>
          <w:right w:val="single" w:sz="6" w:color="D6DEE5"/>
          <w:insideH w:val="single" w:sz="6" w:color="D6DEE5"/>
          <w:insideV w:val="single" w:sz="6" w:color="D6DEE5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4896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Nexatech work</w:t>
            </w:r>
          </w:p>
        </w:tc>
        <w:tc>
          <w:tcPr>
            <w:tcW w:type="dxa" w:w="3960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School participation</w:t>
            </w:r>
          </w:p>
        </w:tc>
      </w:tr>
      <w:tr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Week 1</w:t>
            </w:r>
          </w:p>
        </w:tc>
        <w:tc>
          <w:tcPr>
            <w:tcW w:type="dxa" w:w="48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Configure the workspace and import one clean data file</w:t>
            </w:r>
          </w:p>
        </w:tc>
        <w:tc>
          <w:tcPr>
            <w:tcW w:type="dxa" w:w="39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Approve scope, data fields, named users, and school lead</w:t>
            </w:r>
          </w:p>
        </w:tc>
      </w:tr>
      <w:tr>
        <w:tc>
          <w:tcPr>
            <w:tcW w:type="dxa" w:w="144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Week 2</w:t>
            </w:r>
          </w:p>
        </w:tc>
        <w:tc>
          <w:tcPr>
            <w:tcW w:type="dxa" w:w="489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Train the administrator and teachers</w:t>
            </w:r>
          </w:p>
        </w:tc>
        <w:tc>
          <w:tcPr>
            <w:tcW w:type="dxa" w:w="396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Attend training and confirm the operating process</w:t>
            </w:r>
          </w:p>
        </w:tc>
      </w:tr>
      <w:tr>
        <w:tc>
          <w:tcPr>
            <w:tcW w:type="dxa" w:w="14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Week 3</w:t>
            </w:r>
          </w:p>
        </w:tc>
        <w:tc>
          <w:tcPr>
            <w:tcW w:type="dxa" w:w="48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Support student records, marks, results, and attendance</w:t>
            </w:r>
          </w:p>
        </w:tc>
        <w:tc>
          <w:tcPr>
            <w:tcW w:type="dxa" w:w="39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Use the agreed workflows and report issues</w:t>
            </w:r>
          </w:p>
        </w:tc>
      </w:tr>
      <w:tr>
        <w:tc>
          <w:tcPr>
            <w:tcW w:type="dxa" w:w="144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Week 4</w:t>
            </w:r>
          </w:p>
        </w:tc>
        <w:tc>
          <w:tcPr>
            <w:tcW w:type="dxa" w:w="489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Review outcomes and recommend the next rollout</w:t>
            </w:r>
          </w:p>
        </w:tc>
        <w:tc>
          <w:tcPr>
            <w:tcW w:type="dxa" w:w="396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Assess value, risks, and the continuation decision</w:t>
            </w:r>
          </w:p>
        </w:tc>
      </w:tr>
    </w:tbl>
    <w:p>
      <w:pPr>
        <w:spacing w:after="20"/>
      </w:pPr>
    </w:p>
    <w:p>
      <w:pPr>
        <w:pStyle w:val="Heading1"/>
      </w:pPr>
      <w:r>
        <w:t>Pilot Success Measures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A teacher can complete a 40-learner assessment in under five minutes.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Common student and results views respond in under two seconds under normal pilot load.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Retries do not create duplicate marks or student records.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Every rejected import row shows an actionable reason.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The school can export its records and Nexatech can demonstrate a successful backup restore.</w:t>
      </w:r>
    </w:p>
    <w:p>
      <w:pPr>
        <w:pStyle w:val="Heading1"/>
      </w:pPr>
      <w:r>
        <w:t>System Dependencies and Libraries</w:t>
      </w:r>
    </w:p>
    <w:p>
      <w:pPr>
        <w:spacing w:before="0" w:after="140" w:line="269" w:lineRule="auto"/>
      </w:pPr>
      <w:r>
        <w:rPr>
          <w:rFonts w:ascii="Aptos" w:hAnsi="Aptos"/>
          <w:b w:val="0"/>
          <w:color w:val="17232E"/>
          <w:sz w:val="20"/>
        </w:rPr>
        <w:t>The list below covers direct project dependencies and the main production runtime components. Package managers also install transitive dependencies required by these libraries.</w:t>
      </w:r>
    </w:p>
    <w:p>
      <w:pPr>
        <w:pStyle w:val="Heading2"/>
      </w:pPr>
      <w:r>
        <w:t>Frontend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6DEE5"/>
          <w:left w:val="single" w:sz="6" w:color="D6DEE5"/>
          <w:bottom w:val="single" w:sz="6" w:color="D6DEE5"/>
          <w:right w:val="single" w:sz="6" w:color="D6DEE5"/>
          <w:insideH w:val="single" w:sz="6" w:color="D6DEE5"/>
          <w:insideV w:val="single" w:sz="6" w:color="D6DEE5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736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584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5976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React</w:t>
            </w:r>
          </w:p>
        </w:tc>
        <w:tc>
          <w:tcPr>
            <w:tcW w:type="dxa" w:w="158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19.2.6</w:t>
            </w:r>
          </w:p>
        </w:tc>
        <w:tc>
          <w:tcPr>
            <w:tcW w:type="dxa" w:w="59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User interface and role-specific application screens</w:t>
            </w:r>
          </w:p>
        </w:tc>
      </w:tr>
      <w:tr>
        <w:tc>
          <w:tcPr>
            <w:tcW w:type="dxa" w:w="273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React DOM</w:t>
            </w:r>
          </w:p>
        </w:tc>
        <w:tc>
          <w:tcPr>
            <w:tcW w:type="dxa" w:w="1584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19.2.6</w:t>
            </w:r>
          </w:p>
        </w:tc>
        <w:tc>
          <w:tcPr>
            <w:tcW w:type="dxa" w:w="597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Browser rendering for React</w:t>
            </w:r>
          </w:p>
        </w:tc>
      </w:tr>
      <w:tr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Vite</w:t>
            </w:r>
          </w:p>
        </w:tc>
        <w:tc>
          <w:tcPr>
            <w:tcW w:type="dxa" w:w="158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8.0.14</w:t>
            </w:r>
          </w:p>
        </w:tc>
        <w:tc>
          <w:tcPr>
            <w:tcW w:type="dxa" w:w="59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Development server and production frontend build</w:t>
            </w:r>
          </w:p>
        </w:tc>
      </w:tr>
      <w:tr>
        <w:tc>
          <w:tcPr>
            <w:tcW w:type="dxa" w:w="273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Tailwind CSS</w:t>
            </w:r>
          </w:p>
        </w:tc>
        <w:tc>
          <w:tcPr>
            <w:tcW w:type="dxa" w:w="1584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4.3.0</w:t>
            </w:r>
          </w:p>
        </w:tc>
        <w:tc>
          <w:tcPr>
            <w:tcW w:type="dxa" w:w="597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Layout and visual styling</w:t>
            </w:r>
          </w:p>
        </w:tc>
      </w:tr>
      <w:tr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Tailwind Vite plugin</w:t>
            </w:r>
          </w:p>
        </w:tc>
        <w:tc>
          <w:tcPr>
            <w:tcW w:type="dxa" w:w="158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4.3.0</w:t>
            </w:r>
          </w:p>
        </w:tc>
        <w:tc>
          <w:tcPr>
            <w:tcW w:type="dxa" w:w="59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Tailwind integration with the build</w:t>
            </w:r>
          </w:p>
        </w:tc>
      </w:tr>
      <w:tr>
        <w:tc>
          <w:tcPr>
            <w:tcW w:type="dxa" w:w="273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Axios</w:t>
            </w:r>
          </w:p>
        </w:tc>
        <w:tc>
          <w:tcPr>
            <w:tcW w:type="dxa" w:w="1584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1.16.1</w:t>
            </w:r>
          </w:p>
        </w:tc>
        <w:tc>
          <w:tcPr>
            <w:tcW w:type="dxa" w:w="597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Authenticated browser requests to the Laravel API</w:t>
            </w:r>
          </w:p>
        </w:tc>
      </w:tr>
      <w:tr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Playwright</w:t>
            </w:r>
          </w:p>
        </w:tc>
        <w:tc>
          <w:tcPr>
            <w:tcW w:type="dxa" w:w="158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1.60.0</w:t>
            </w:r>
          </w:p>
        </w:tc>
        <w:tc>
          <w:tcPr>
            <w:tcW w:type="dxa" w:w="59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Browser testing and repeatable demonstrations</w:t>
            </w:r>
          </w:p>
        </w:tc>
      </w:tr>
      <w:tr>
        <w:tc>
          <w:tcPr>
            <w:tcW w:type="dxa" w:w="273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ESLint toolchain</w:t>
            </w:r>
          </w:p>
        </w:tc>
        <w:tc>
          <w:tcPr>
            <w:tcW w:type="dxa" w:w="1584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10.x</w:t>
            </w:r>
          </w:p>
        </w:tc>
        <w:tc>
          <w:tcPr>
            <w:tcW w:type="dxa" w:w="597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JavaScript quality checks, React hooks rules, and development globals</w:t>
            </w:r>
          </w:p>
        </w:tc>
      </w:tr>
      <w:tr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React type packages</w:t>
            </w:r>
          </w:p>
        </w:tc>
        <w:tc>
          <w:tcPr>
            <w:tcW w:type="dxa" w:w="158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19.2.x</w:t>
            </w:r>
          </w:p>
        </w:tc>
        <w:tc>
          <w:tcPr>
            <w:tcW w:type="dxa" w:w="59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Development type information</w:t>
            </w:r>
          </w:p>
        </w:tc>
      </w:tr>
    </w:tbl>
    <w:p>
      <w:pPr>
        <w:spacing w:after="20"/>
      </w:pPr>
    </w:p>
    <w:p>
      <w:pPr>
        <w:pStyle w:val="Heading2"/>
      </w:pPr>
      <w:r>
        <w:t>Backend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6DEE5"/>
          <w:left w:val="single" w:sz="6" w:color="D6DEE5"/>
          <w:bottom w:val="single" w:sz="6" w:color="D6DEE5"/>
          <w:right w:val="single" w:sz="6" w:color="D6DEE5"/>
          <w:insideH w:val="single" w:sz="6" w:color="D6DEE5"/>
          <w:insideV w:val="single" w:sz="6" w:color="D6DEE5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376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5040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PHP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8.3 minimum; 8.4 production image</w:t>
            </w:r>
          </w:p>
        </w:tc>
        <w:tc>
          <w:tcPr>
            <w:tcW w:type="dxa" w:w="50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Server runtime</w:t>
            </w:r>
          </w:p>
        </w:tc>
      </w:tr>
      <w:tr>
        <w:tc>
          <w:tcPr>
            <w:tcW w:type="dxa" w:w="288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Laravel Framework</w:t>
            </w:r>
          </w:p>
        </w:tc>
        <w:tc>
          <w:tcPr>
            <w:tcW w:type="dxa" w:w="237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13.8</w:t>
            </w:r>
          </w:p>
        </w:tc>
        <w:tc>
          <w:tcPr>
            <w:tcW w:type="dxa" w:w="504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API, authentication, validation, queues, scheduling, and business logic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Laravel Sanctum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4.0</w:t>
            </w:r>
          </w:p>
        </w:tc>
        <w:tc>
          <w:tcPr>
            <w:tcW w:type="dxa" w:w="50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Authenticated sessions and access tokens</w:t>
            </w:r>
          </w:p>
        </w:tc>
      </w:tr>
      <w:tr>
        <w:tc>
          <w:tcPr>
            <w:tcW w:type="dxa" w:w="288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Laravel Tinker</w:t>
            </w:r>
          </w:p>
        </w:tc>
        <w:tc>
          <w:tcPr>
            <w:tcW w:type="dxa" w:w="237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3.0</w:t>
            </w:r>
          </w:p>
        </w:tc>
        <w:tc>
          <w:tcPr>
            <w:tcW w:type="dxa" w:w="504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Controlled administrative troubleshooting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Laravel DOMPDF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3.1</w:t>
            </w:r>
          </w:p>
        </w:tc>
        <w:tc>
          <w:tcPr>
            <w:tcW w:type="dxa" w:w="50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PDF report-card generation</w:t>
            </w:r>
          </w:p>
        </w:tc>
      </w:tr>
      <w:tr>
        <w:tc>
          <w:tcPr>
            <w:tcW w:type="dxa" w:w="288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Paynow PHP SDK</w:t>
            </w:r>
          </w:p>
        </w:tc>
        <w:tc>
          <w:tcPr>
            <w:tcW w:type="dxa" w:w="237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1.0</w:t>
            </w:r>
          </w:p>
        </w:tc>
        <w:tc>
          <w:tcPr>
            <w:tcW w:type="dxa" w:w="504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Paynow payment integration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PHP extensions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bcmath, gd, intl, pdo_mysql, zip, redis</w:t>
            </w:r>
          </w:p>
        </w:tc>
        <w:tc>
          <w:tcPr>
            <w:tcW w:type="dxa" w:w="50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Calculations, images, localization, database, archives, queues, and cache</w:t>
            </w:r>
          </w:p>
        </w:tc>
      </w:tr>
      <w:tr>
        <w:tc>
          <w:tcPr>
            <w:tcW w:type="dxa" w:w="288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Test and development libraries</w:t>
            </w:r>
          </w:p>
        </w:tc>
        <w:tc>
          <w:tcPr>
            <w:tcW w:type="dxa" w:w="237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Faker, Pail, Pao, Pint, Mockery, Collision, PHPUnit</w:t>
            </w:r>
          </w:p>
        </w:tc>
        <w:tc>
          <w:tcPr>
            <w:tcW w:type="dxa" w:w="504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Fixtures, logs, quality checks, mocks, diagnostics, and automated tests</w:t>
            </w:r>
          </w:p>
        </w:tc>
      </w:tr>
    </w:tbl>
    <w:p>
      <w:pPr>
        <w:spacing w:after="20"/>
      </w:pPr>
    </w:p>
    <w:p>
      <w:pPr>
        <w:pStyle w:val="Heading2"/>
      </w:pPr>
      <w:r>
        <w:t>System and Service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6DEE5"/>
          <w:left w:val="single" w:sz="6" w:color="D6DEE5"/>
          <w:bottom w:val="single" w:sz="6" w:color="D6DEE5"/>
          <w:right w:val="single" w:sz="6" w:color="D6DEE5"/>
          <w:insideH w:val="single" w:sz="6" w:color="D6DEE5"/>
          <w:insideV w:val="single" w:sz="6" w:color="D6DEE5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7200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Docker</w:t>
            </w:r>
          </w:p>
        </w:tc>
        <w:tc>
          <w:tcPr>
            <w:tcW w:type="dxa" w:w="72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Builds one repeatable production image</w:t>
            </w:r>
          </w:p>
        </w:tc>
      </w:tr>
      <w:tr>
        <w:tc>
          <w:tcPr>
            <w:tcW w:type="dxa" w:w="309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Node.js 22 and npm</w:t>
            </w:r>
          </w:p>
        </w:tc>
        <w:tc>
          <w:tcPr>
            <w:tcW w:type="dxa" w:w="720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Build the React frontend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Composer 2</w:t>
            </w:r>
          </w:p>
        </w:tc>
        <w:tc>
          <w:tcPr>
            <w:tcW w:type="dxa" w:w="72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Installs and optimizes PHP packages</w:t>
            </w:r>
          </w:p>
        </w:tc>
      </w:tr>
      <w:tr>
        <w:tc>
          <w:tcPr>
            <w:tcW w:type="dxa" w:w="309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Apache</w:t>
            </w:r>
          </w:p>
        </w:tc>
        <w:tc>
          <w:tcPr>
            <w:tcW w:type="dxa" w:w="720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Serves the built frontend and Laravel application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Managed MySQL</w:t>
            </w:r>
          </w:p>
        </w:tc>
        <w:tc>
          <w:tcPr>
            <w:tcW w:type="dxa" w:w="72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Production source of truth for school records</w:t>
            </w:r>
          </w:p>
        </w:tc>
      </w:tr>
      <w:tr>
        <w:tc>
          <w:tcPr>
            <w:tcW w:type="dxa" w:w="309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Redis</w:t>
            </w:r>
          </w:p>
        </w:tc>
        <w:tc>
          <w:tcPr>
            <w:tcW w:type="dxa" w:w="720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Queues, cache, and session support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SMTP service</w:t>
            </w:r>
          </w:p>
        </w:tc>
        <w:tc>
          <w:tcPr>
            <w:tcW w:type="dxa" w:w="72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Password recovery and transactional email</w:t>
            </w:r>
          </w:p>
        </w:tc>
      </w:tr>
      <w:tr>
        <w:tc>
          <w:tcPr>
            <w:tcW w:type="dxa" w:w="309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Africa's Talking</w:t>
            </w:r>
          </w:p>
        </w:tc>
        <w:tc>
          <w:tcPr>
            <w:tcW w:type="dxa" w:w="720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Optional SMS delivery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Paynow, Payfast, or Stitch</w:t>
            </w:r>
          </w:p>
        </w:tc>
        <w:tc>
          <w:tcPr>
            <w:tcW w:type="dxa" w:w="72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Optional payment processing through configured gateways</w:t>
            </w:r>
          </w:p>
        </w:tc>
      </w:tr>
    </w:tbl>
    <w:p>
      <w:pPr>
        <w:spacing w:after="20"/>
      </w:pPr>
    </w:p>
    <w:p>
      <w:pPr>
        <w:pStyle w:val="Heading1"/>
      </w:pPr>
      <w:r>
        <w:t>Hosting and Production Architecture</w:t>
      </w:r>
    </w:p>
    <w:p>
      <w:pPr>
        <w:spacing w:before="0" w:after="140" w:line="269" w:lineRule="auto"/>
      </w:pPr>
      <w:r>
        <w:rPr>
          <w:rFonts w:ascii="Aptos" w:hAnsi="Aptos"/>
          <w:b w:val="0"/>
          <w:color w:val="17232E"/>
          <w:sz w:val="20"/>
        </w:rPr>
        <w:t>The current deployment design uses Railway and Docker. The React application and Laravel API share one HTTPS origin because the secure authentication design uses HTTP-only cookies.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6DEE5"/>
          <w:left w:val="single" w:sz="6" w:color="D6DEE5"/>
          <w:bottom w:val="single" w:sz="6" w:color="D6DEE5"/>
          <w:right w:val="single" w:sz="6" w:color="D6DEE5"/>
          <w:insideH w:val="single" w:sz="6" w:color="D6DEE5"/>
          <w:insideV w:val="single" w:sz="6" w:color="D6DEE5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7416"/>
            <w:shd w:fill="14385F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Web service</w:t>
            </w:r>
          </w:p>
        </w:tc>
        <w:tc>
          <w:tcPr>
            <w:tcW w:type="dxa" w:w="741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Serves the React frontend and Laravel API, runs migrations, and exposes the health check</w:t>
            </w:r>
          </w:p>
        </w:tc>
      </w:tr>
      <w:tr>
        <w:tc>
          <w:tcPr>
            <w:tcW w:type="dxa" w:w="288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Worker service</w:t>
            </w:r>
          </w:p>
        </w:tc>
        <w:tc>
          <w:tcPr>
            <w:tcW w:type="dxa" w:w="741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Processes queued email, SMS, payment confirmation, and other background jobs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Scheduler service</w:t>
            </w:r>
          </w:p>
        </w:tc>
        <w:tc>
          <w:tcPr>
            <w:tcW w:type="dxa" w:w="741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Runs scheduled work such as retention pruning</w:t>
            </w:r>
          </w:p>
        </w:tc>
      </w:tr>
      <w:tr>
        <w:tc>
          <w:tcPr>
            <w:tcW w:type="dxa" w:w="288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Managed MySQL</w:t>
            </w:r>
          </w:p>
        </w:tc>
        <w:tc>
          <w:tcPr>
            <w:tcW w:type="dxa" w:w="741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Stores tenant-scoped operational data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Managed Redis</w:t>
            </w:r>
          </w:p>
        </w:tc>
        <w:tc>
          <w:tcPr>
            <w:tcW w:type="dxa" w:w="741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Supports queues, cache, and production sessions</w:t>
            </w:r>
          </w:p>
        </w:tc>
      </w:tr>
      <w:tr>
        <w:tc>
          <w:tcPr>
            <w:tcW w:type="dxa" w:w="2880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Custom domain and HTTPS</w:t>
            </w:r>
          </w:p>
        </w:tc>
        <w:tc>
          <w:tcPr>
            <w:tcW w:type="dxa" w:w="7416"/>
            <w:shd w:fill="F5F7F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Provides the school-facing address and encrypted transport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Monitoring and backups</w:t>
            </w:r>
          </w:p>
        </w:tc>
        <w:tc>
          <w:tcPr>
            <w:tcW w:type="dxa" w:w="741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50" w:lineRule="auto"/>
            </w:pPr>
            <w:r>
              <w:rPr>
                <w:rFonts w:ascii="Aptos" w:hAnsi="Aptos"/>
                <w:b w:val="0"/>
                <w:color w:val="17232E"/>
                <w:sz w:val="18"/>
              </w:rPr>
              <w:t>Tracks health, failures, database pressure, and recovery readiness</w:t>
            </w:r>
          </w:p>
        </w:tc>
      </w:tr>
    </w:tbl>
    <w:p>
      <w:pPr>
        <w:spacing w:after="20"/>
      </w:pPr>
    </w:p>
    <w:p>
      <w:pPr>
        <w:pStyle w:val="Heading1"/>
      </w:pPr>
      <w:r>
        <w:t>Domain API and Secret Management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Use one final product domain with HTTPS and domain-based sender addresses.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Store application, database, email, SMS, payment, and partner credentials in the hosting secret manager.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Never place API keys in the React frontend, screenshots, source control, proposals, or training material.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Issue a unique key for each customer integration with narrow permissions, rate limits, rotation, logs, and revocation.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Charge for managed API access and usage, not for revealing a provider secret.</w:t>
      </w:r>
    </w:p>
    <w:p>
      <w:pPr>
        <w:pStyle w:val="Heading1"/>
      </w:pPr>
      <w:r>
        <w:t>Readiness Conditions Before Real School Data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Complete tenant-isolation and role-permission checks for the exact pilot roles.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Confirm automated encrypted backups and complete a documented restore test.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Activate uptime, application-error, queue-failure, and database alerts.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Configure and test SMTP before relying on password recovery or demo access email.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Configure SMS and payment credentials only for services included in the pilot.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Approve the privacy notice, terms, retention policy, data-processing responsibilities, and incident contact process.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7232E"/>
          <w:sz w:val="20"/>
        </w:rPr>
        <w:t>Use synthetic data for sales demonstrations. Import real school data only after written approval and secure transfer arrangements.</w:t>
      </w:r>
    </w:p>
    <w:p>
      <w:pPr>
        <w:pStyle w:val="Heading1"/>
      </w:pPr>
      <w:r>
        <w:t>Next Decision</w:t>
      </w:r>
    </w:p>
    <w:p>
      <w:pPr>
        <w:spacing w:before="0" w:after="140" w:line="269" w:lineRule="auto"/>
      </w:pPr>
      <w:r>
        <w:rPr>
          <w:rFonts w:ascii="Aptos" w:hAnsi="Aptos"/>
          <w:b w:val="0"/>
          <w:color w:val="17232E"/>
          <w:sz w:val="20"/>
        </w:rPr>
        <w:t>The school and Nexatech should agree the pilot workflow, nominate one school lead, approve the data set, confirm the price, and schedule a 30-minute demonstration. The pilot should begin only after both sides sign the scope and data-handling responsibilities.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B6772"/>
        <w:sz w:val="16"/>
      </w:rPr>
      <w:t>School Pilot Proposal and Budget  |  21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772"/>
        <w:sz w:val="16"/>
      </w:rPr>
      <w:t>NEXATECH SCHOOL OPERATIONS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Aptos" w:hAnsi="Aptos"/>
      <w:color w:val="1723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Nexatech School Pilot Proposal and Budget</dc:title>
  <dc:subject>School onboarding proposal, demonstration plan, pricing, dependencies, and hosting</dc:subject>
  <dc:creator>NEXATECH</dc:creator>
  <cp:keywords>Nexatech, school onboarding, proposal, budget, demo, hosting, dependencies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