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</w:pPr>
      <w:r>
        <w:rPr>
          <w:rFonts w:ascii="Malgun Gothic" w:cs="Malgun Gothic" w:eastAsia="Malgun Gothic" w:hAnsi="Malgun Gothic"/>
          <w:b/>
          <w:bCs/>
          <w:color w:val="3E5C76"/>
          <w:sz w:val="27"/>
          <w:szCs w:val="27"/>
        </w:rPr>
        <w:t xml:space="preserve">마케팅 캠페인 운영 SOP — 사용 안내</w:t>
      </w:r>
    </w:p>
    <w:p>
      <w:pPr>
        <w:pBdr>
          <w:bottom w:val="single" w:color="3E5C76" w:sz="12"/>
        </w:pBdr>
        <w:spacing w:after="90"/>
      </w:pPr>
      <w:r>
        <w:rPr>
          <w:rFonts w:ascii="Malgun Gothic" w:cs="Malgun Gothic" w:eastAsia="Malgun Gothic" w:hAnsi="Malgun Gothic"/>
          <w:color w:val="5B6773"/>
          <w:sz w:val="15"/>
          <w:szCs w:val="15"/>
        </w:rPr>
        <w:t xml:space="preserve">v3.0 (2026.06.22 상세 SOP 기준) · 사업전략팀 · 배포 파일: campaign-checklist/index.html (단일 HTML · 오프라인 동작 · 설치 불필요)</w:t>
      </w:r>
    </w:p>
    <w:p>
      <w:pPr>
        <w:pBdr>
          <w:bottom w:val="single" w:color="3E5C76" w:sz="6"/>
        </w:pBdr>
        <w:spacing w:after="60" w:before="130"/>
      </w:pPr>
      <w:r>
        <w:rPr>
          <w:rFonts w:ascii="Malgun Gothic" w:cs="Malgun Gothic" w:eastAsia="Malgun Gothic" w:hAnsi="Malgun Gothic"/>
          <w:b/>
          <w:bCs/>
          <w:color w:val="3E5C76"/>
          <w:sz w:val="20"/>
          <w:szCs w:val="20"/>
        </w:rPr>
        <w:t xml:space="preserve">1. 사용 방법</w:t>
      </w:r>
    </w:p>
    <w:p>
      <w:pPr>
        <w:spacing w:after="30"/>
      </w:pPr>
      <w:r>
        <w:rPr>
          <w:rFonts w:ascii="Malgun Gothic" w:cs="Malgun Gothic" w:eastAsia="Malgun Gothic" w:hAnsi="Malgun Gothic"/>
          <w:b/>
          <w:bCs/>
          <w:color w:val="3E5C76"/>
          <w:sz w:val="16"/>
          <w:szCs w:val="16"/>
        </w:rPr>
        <w:t xml:space="preserve">① index.html 열기</w:t>
      </w:r>
      <w:r>
        <w:rPr>
          <w:rFonts w:ascii="Malgun Gothic" w:cs="Malgun Gothic" w:eastAsia="Malgun Gothic" w:hAnsi="Malgun Gothic"/>
          <w:color w:val="26303A"/>
          <w:sz w:val="16"/>
          <w:szCs w:val="16"/>
        </w:rPr>
        <w:t xml:space="preserve"> → </w:t>
      </w:r>
      <w:r>
        <w:rPr>
          <w:rFonts w:ascii="Malgun Gothic" w:cs="Malgun Gothic" w:eastAsia="Malgun Gothic" w:hAnsi="Malgun Gothic"/>
          <w:b/>
          <w:bCs/>
          <w:color w:val="3E5C76"/>
          <w:sz w:val="16"/>
          <w:szCs w:val="16"/>
        </w:rPr>
        <w:t xml:space="preserve">② 캠페인 정보 입력</w:t>
      </w:r>
      <w:r>
        <w:rPr>
          <w:rFonts w:ascii="Malgun Gothic" w:cs="Malgun Gothic" w:eastAsia="Malgun Gothic" w:hAnsi="Malgun Gothic"/>
          <w:color w:val="26303A"/>
          <w:sz w:val="16"/>
          <w:szCs w:val="16"/>
        </w:rPr>
        <w:t xml:space="preserve">(캠페인명·기간) → </w:t>
      </w:r>
      <w:r>
        <w:rPr>
          <w:rFonts w:ascii="Malgun Gothic" w:cs="Malgun Gothic" w:eastAsia="Malgun Gothic" w:hAnsi="Malgun Gothic"/>
          <w:b/>
          <w:bCs/>
          <w:color w:val="3E5C76"/>
          <w:sz w:val="16"/>
          <w:szCs w:val="16"/>
        </w:rPr>
        <w:t xml:space="preserve">③ 프리셋 선택</w:t>
      </w:r>
      <w:r>
        <w:rPr>
          <w:rFonts w:ascii="Malgun Gothic" w:cs="Malgun Gothic" w:eastAsia="Malgun Gothic" w:hAnsi="Malgun Gothic"/>
          <w:color w:val="26303A"/>
          <w:sz w:val="16"/>
          <w:szCs w:val="16"/>
        </w:rPr>
        <w:t xml:space="preserve"> → </w:t>
      </w:r>
      <w:r>
        <w:rPr>
          <w:rFonts w:ascii="Malgun Gothic" w:cs="Malgun Gothic" w:eastAsia="Malgun Gothic" w:hAnsi="Malgun Gothic"/>
          <w:b/>
          <w:bCs/>
          <w:color w:val="3E5C76"/>
          <w:sz w:val="16"/>
          <w:szCs w:val="16"/>
        </w:rPr>
        <w:t xml:space="preserve">④ 모듈·채널 조정</w:t>
      </w:r>
      <w:r>
        <w:rPr>
          <w:rFonts w:ascii="Malgun Gothic" w:cs="Malgun Gothic" w:eastAsia="Malgun Gothic" w:hAnsi="Malgun Gothic"/>
          <w:color w:val="26303A"/>
          <w:sz w:val="16"/>
          <w:szCs w:val="16"/>
        </w:rPr>
        <w:t xml:space="preserve">(연관 모듈 자동 체크, 해제 시 경고) → </w:t>
      </w:r>
      <w:r>
        <w:rPr>
          <w:rFonts w:ascii="Malgun Gothic" w:cs="Malgun Gothic" w:eastAsia="Malgun Gothic" w:hAnsi="Malgun Gothic"/>
          <w:b/>
          <w:bCs/>
          <w:color w:val="3E5C76"/>
          <w:sz w:val="16"/>
          <w:szCs w:val="16"/>
        </w:rPr>
        <w:t xml:space="preserve">⑤ 결과 확인</w:t>
      </w:r>
      <w:r>
        <w:rPr>
          <w:rFonts w:ascii="Malgun Gothic" w:cs="Malgun Gothic" w:eastAsia="Malgun Gothic" w:hAnsi="Malgun Gothic"/>
          <w:color w:val="26303A"/>
          <w:sz w:val="16"/>
          <w:szCs w:val="16"/>
        </w:rPr>
        <w:t xml:space="preserve">(체크리스트 인라인 수정·수기 과업 추가 · 로드맵 캘린더에서 드래그로 일정 이동) → </w:t>
      </w:r>
      <w:r>
        <w:rPr>
          <w:rFonts w:ascii="Malgun Gothic" w:cs="Malgun Gothic" w:eastAsia="Malgun Gothic" w:hAnsi="Malgun Gothic"/>
          <w:b/>
          <w:bCs/>
          <w:color w:val="3E5C76"/>
          <w:sz w:val="16"/>
          <w:szCs w:val="16"/>
        </w:rPr>
        <w:t xml:space="preserve">⑥ Excel 다운로드</w:t>
      </w:r>
      <w:r>
        <w:rPr>
          <w:rFonts w:ascii="Malgun Gothic" w:cs="Malgun Gothic" w:eastAsia="Malgun Gothic" w:hAnsi="Malgun Gothic"/>
          <w:color w:val="26303A"/>
          <w:sz w:val="16"/>
          <w:szCs w:val="16"/>
        </w:rPr>
        <w:t xml:space="preserve">(상태 갱신하며 운영, 품의 첨부는 PDF 저장) → </w:t>
      </w:r>
      <w:r>
        <w:rPr>
          <w:rFonts w:ascii="Malgun Gothic" w:cs="Malgun Gothic" w:eastAsia="Malgun Gothic" w:hAnsi="Malgun Gothic"/>
          <w:b/>
          <w:bCs/>
          <w:color w:val="3E5C76"/>
          <w:sz w:val="16"/>
          <w:szCs w:val="16"/>
        </w:rPr>
        <w:t xml:space="preserve">⑦ 요청 쪽지 복사</w:t>
      </w:r>
      <w:r>
        <w:rPr>
          <w:rFonts w:ascii="Malgun Gothic" w:cs="Malgun Gothic" w:eastAsia="Malgun Gothic" w:hAnsi="Malgun Gothic"/>
          <w:color w:val="26303A"/>
          <w:sz w:val="16"/>
          <w:szCs w:val="16"/>
        </w:rPr>
        <w:t xml:space="preserve"> — 디자인 제작·개발 게시·법무 검토·위하고 협조전·홍보실/신한/협회 게시 요청 쪽지 자동 생성(수정 후 복사)</w:t>
      </w:r>
    </w:p>
    <w:p>
      <w:pPr>
        <w:spacing w:after="40"/>
      </w:pPr>
      <w:r>
        <w:rPr>
          <w:rFonts w:ascii="Malgun Gothic" w:cs="Malgun Gothic" w:eastAsia="Malgun Gothic" w:hAnsi="Malgun Gothic"/>
          <w:color w:val="5B6773"/>
          <w:sz w:val="14"/>
          <w:szCs w:val="14"/>
        </w:rPr>
        <w:t xml:space="preserve">표준 일정: 1주차 기획(기획안 승인·품의) → 2주차 디자인(초안 전달·회신) → 3주차 개발(시안 회수·백오피스 세팅) → 4주차 검수(UTM·쿠폰·전시) → D-Day 오픈 | 프리셋: A 이벤트 페이지 · B 주주사·협회 제휴 · C 쿠폰·할인 · D 콘텐츠 인지 · E 직접 선택(고정 모듈만)</w:t>
      </w:r>
    </w:p>
    <w:p>
      <w:pPr>
        <w:pBdr>
          <w:bottom w:val="single" w:color="3E5C76" w:sz="6"/>
        </w:pBdr>
        <w:spacing w:after="60" w:before="130"/>
      </w:pPr>
      <w:r>
        <w:rPr>
          <w:rFonts w:ascii="Malgun Gothic" w:cs="Malgun Gothic" w:eastAsia="Malgun Gothic" w:hAnsi="Malgun Gothic"/>
          <w:b/>
          <w:bCs/>
          <w:color w:val="3E5C76"/>
          <w:sz w:val="20"/>
          <w:szCs w:val="20"/>
        </w:rPr>
        <w:t xml:space="preserve">2. 전체 모듈 · 과업 구성  (🔒 고정 = 해제 불가, 나머지는 선택)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2450"/>
        <w:gridCol w:w="6560"/>
      </w:tblGrid>
      <w:tr>
        <w:trPr>
          <w:tblHeader/>
        </w:trPr>
        <w:tc>
          <w:tcPr>
            <w:tcW w:type="dxa" w:w="13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단계</w:t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모듈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과업 구성</w:t>
            </w:r>
          </w:p>
        </w:tc>
      </w:tr>
      <w:tr>
        <w:tc>
          <w:tcPr>
            <w:tcW w:type="dxa" w:w="13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기획 (1주차)</w:t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P0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기획 기본 🔒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목적 설정 → 프로세스 설정 → 일정 수립(발표·발송 포함) → 로드맵 확정 → 기획안 승인·품의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P1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타겟·노출 대상 확정 🔒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타겟 정의 → 노출 채널 확정(C군 활성화) → 노출 조건 확정 → 소재 규격 확인 → 게시 경로 확인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P2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공지·법무 검토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안내 문구 작성 → 법무 검토 요청·회신 확인 → 약관·개인정보 동의 문구 확정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P3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예산 수립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항목별 예산 산정 → 예산 품의·승인 (선택 시 예산 총액 입력란 표시)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P4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실적 측정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KPI 설정 → 예상 실적 도출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P5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쿠폰 (할인)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진행 여부·할인율 확정 (코드 등록은 V3, 발급·사용 검증은 검수에서)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P7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경품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경품 목록·수량 확정 → 발주 → 발송 경로 확인 → 제세공과금 확인(5만원 초과)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P8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응모 (네이버폼)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응모·의견 수집 항목 정의 → 네이버폼 제작 (보안상 구글폼 사용 불가·자체 시스템 없음)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P10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이벤트 페이지 기획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구성·콘텐츠 기획 → 와이어프레임·기능 명세 (개발 전달·디자인 요청용)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C1~C14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노출 채널 확정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기획 단계에서 채널 확정 (상세: 아래 3. 노출 채널 구성) — 채널마다 [노출 확정(기획) → 게시·집행(개발) → 노출 검수(검수) → 종료 내림·중단(오픈)] 배치 + 연동 디자인 모듈(D2·D3·D5·D7) 자동 체크</w:t>
            </w:r>
          </w:p>
        </w:tc>
      </w:tr>
      <w:tr>
        <w:tc>
          <w:tcPr>
            <w:tcW w:type="dxa" w:w="13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디자인 (2주차)</w:t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D1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이벤트 페이지 제작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규격 확인 → 초안(요청서) 제작 → 디자인팀 제작 요청 → 회신 시안 검토 → 수정 요청(필요시) → 확정 → 개발팀 전달 [자체 선택]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D2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배너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규격 확인(웹·모바일) → 초안 제작·전달 → 시안 검토·수정·확정 [C1~C9·C14]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D3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롤링배너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구좌 규격 확인 → 초안 제작·전달 → 시안 검토·수정·확정 → 노출 순서·기간 확정 [C8]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D4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오픈그래프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OG 타이틀·디스크립션 작성 → 이미지 초안 전달 → 시안 확정 → 링크 미리보기 테스트 [자체 선택]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D5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팝업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규격 확인(웹·모바일) → 초안 제작·전달 → 시안 검토·수정·확정 [C1·C5·C7~C9·C14]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D6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전시관리 이미지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규격 확인(웹·모바일) → 초안 제작·전달 → 시안 검토·수정·확정 [D1 진행 시 동시 수반]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D7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광고 소재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구좌별 사이즈 확인 → 초안 제작·전달 → 시안 검토·수정·확정 [C10~C13]</w:t>
            </w:r>
          </w:p>
        </w:tc>
      </w:tr>
      <w:tr>
        <w:tc>
          <w:tcPr>
            <w:tcW w:type="dxa" w:w="13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개발·검수 (3~4주차)</w:t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V1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이벤트 페이지 개발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기능 명세·확정 디자인 전달 → 페이지 게시 → URL 확정 → 종료 처리·리다이렉션 설정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V2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응모 폼 구현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개인정보 수집 동의 절차 반영 → 중복 응모 방지 로직 확인 (네이버폼, 구글폼 불가)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V3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백오피스 세팅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V3-1 이벤트 코드 채번→이벤트 등록 / V3-2 경품 코드 채번→코드 등록 / V3-3 할인쿠폰 채번→신규 쿠폰 등록 / V3-4 UTM 생성·URL 정리·접속 테스트→제휴코드 등록→유입 집계 검증 (파생 번호 체계 · 누락 시 실적 0 집계)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V4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QA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이벤트 페이지·기능 배포 일자 확정, 정상 작동 여부 QA [V1 진행 시 자동]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검수 (자동 구성)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공통: 법적 고지 반영·오픈 준비 승인 + 선택 모듈별 자동 생성 — P2 법무 회신 / V3 UTM 집계·백오피스 등록 / D1·V1 화면·호환·링크·리다이렉션 / P5 쿠폰 발급·사용 / P7 경품 준비 / 주주사·협회 채널 노출 / D5 팝업 / V2 응모 폼</w:t>
            </w:r>
          </w:p>
        </w:tc>
      </w:tr>
      <w:tr>
        <w:tc>
          <w:tcPr>
            <w:tcW w:type="dxa" w:w="13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오픈·운영 (D-Day~)</w:t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O1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오픈 모니터링 🔒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정상 오픈·게시 상태·유입 경로 확인 → 일별 지표 모니터링·문의 대응 → 종료 처리·게시물 내림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O2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당첨자 발표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당첨자 선정·발표 게시 → 개별 안내 발송 (종료 후)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O3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경품 발송·정산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발송·수령 확인 → 미수령 재발송 → 제세공과금 처리·정산 (종료 후)</w:t>
            </w:r>
          </w:p>
        </w:tc>
      </w:tr>
      <w:tr>
        <w:tc>
          <w:tcPr>
            <w:tcW w:type="dxa" w:w="13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24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F4F7FA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5"/>
                <w:szCs w:val="15"/>
              </w:rPr>
              <w:t xml:space="preserve">O4 </w:t>
            </w: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결과 리포트</w:t>
            </w:r>
          </w:p>
        </w:tc>
        <w:tc>
          <w:tcPr>
            <w:tcW w:type="dxa" w:w="65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KPI 대비 실적 정리 → 채널별 유입·전환 분석 → 회고·개선사항 (종료 후)</w:t>
            </w:r>
          </w:p>
        </w:tc>
      </w:tr>
    </w:tbl>
    <w:p>
      <w:pPr>
        <w:pBdr>
          <w:bottom w:val="single" w:color="3E5C76" w:sz="6"/>
        </w:pBdr>
        <w:spacing w:after="60" w:before="130"/>
      </w:pPr>
      <w:r>
        <w:rPr>
          <w:rFonts w:ascii="Malgun Gothic" w:cs="Malgun Gothic" w:eastAsia="Malgun Gothic" w:hAnsi="Malgun Gothic"/>
          <w:b/>
          <w:bCs/>
          <w:color w:val="3E5C76"/>
          <w:sz w:val="20"/>
          <w:szCs w:val="20"/>
        </w:rPr>
        <w:t xml:space="preserve">3. 노출 채널 구성  (채널마다 게시 주체·진행 절차가 다름 · 링크드인은 진행하지 않음)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950"/>
        <w:gridCol w:w="3960"/>
        <w:gridCol w:w="1900"/>
        <w:gridCol w:w="2400"/>
      </w:tblGrid>
      <w:tr>
        <w:trPr>
          <w:tblHeader/>
        </w:trPr>
        <w:tc>
          <w:tcPr>
            <w:tcW w:type="dxa" w:w="11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유형</w:t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코드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채널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게시 주체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진행 특이사항</w:t>
            </w:r>
          </w:p>
        </w:tc>
      </w:tr>
      <w:tr>
        <w:tc>
          <w:tcPr>
            <w:tcW w:type="dxa" w:w="11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주주사</w:t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C1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더존 4종 배너 + 팝업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위하고 협업플랫폼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>변경 시마다 협조전 상신 필요</w:t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C2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더존 온라인 고객센터 배너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홍보실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>홍보실로 변경 요청</w:t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C3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 기업뱅킹(웹) 로그인 전·후 배너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신한은행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C4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 기업뱅킹(웹) 메뉴 탑재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신한은행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C5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 쏠비즈(앱) 토스트 팝업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신한은행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C6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 론앤비즈(웹) 하단 배너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신한은행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1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자체</w:t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C7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공식 홈페이지 팝업·배너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백오피스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>직접 게시·링크 연결</w:t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C8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크레디뷰 로그인 전 (팝업·롤링 배너·우측 FAB)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백오피스·개발팀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>팝업: 백오피스 / 롤링·FAB: 개발팀</w:t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C9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크레디뷰 로그인 후 (배너·팝업)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백오피스·개발팀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>팝업: 백오피스 / 배너: 개발팀</w:t>
            </w:r>
          </w:p>
        </w:tc>
      </w:tr>
      <w:tr>
        <w:tc>
          <w:tcPr>
            <w:tcW w:type="dxa" w:w="11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광고</w:t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C10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메타 DA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마케팅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>광고 캠페인 세팅·집행, 종료 시 중단</w:t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C11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네이버 (DA·파워콘텐츠·파워링크·브랜드검색)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마케팅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C12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구글 (DA·키워드 광고)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마케팅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/>
            </w:r>
          </w:p>
        </w:tc>
      </w:tr>
      <w:tr>
        <w:tc>
          <w:tcPr>
            <w:tcW w:type="dxa" w:w="1150"/>
            <w:vMerge w:val="continue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/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C13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네이버 블로그 바이럴 (티블·인링크 배포)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마케팅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>배포 가이드 제작 필요</w:t>
            </w:r>
          </w:p>
        </w:tc>
      </w:tr>
      <w:tr>
        <w:tc>
          <w:tcPr>
            <w:tcW w:type="dxa" w:w="1150"/>
            <w:vMerge w:val="restart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0E6EC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협회</w:t>
            </w:r>
          </w:p>
        </w:tc>
        <w:tc>
          <w:tcPr>
            <w:tcW w:type="dxa" w:w="9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3E5C76"/>
                <w:sz w:val="14"/>
                <w:szCs w:val="14"/>
              </w:rPr>
              <w:t xml:space="preserve">C14</w:t>
            </w:r>
          </w:p>
        </w:tc>
        <w:tc>
          <w:tcPr>
            <w:tcW w:type="dxa" w:w="396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협회 노출 (배너·팝업)</w:t>
            </w:r>
          </w:p>
        </w:tc>
        <w:tc>
          <w:tcPr>
            <w:tcW w:type="dxa" w:w="19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4"/>
                <w:szCs w:val="14"/>
              </w:rPr>
              <w:t xml:space="preserve">협회</w:t>
            </w:r>
          </w:p>
        </w:tc>
        <w:tc>
          <w:tcPr>
            <w:tcW w:type="dxa" w:w="240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5B6773"/>
                <w:sz w:val="13"/>
                <w:szCs w:val="13"/>
              </w:rPr>
              <w:t xml:space="preserve">협회별로 배너·팝업 제작하여 배포</w:t>
            </w:r>
          </w:p>
        </w:tc>
      </w:tr>
    </w:tbl>
    <w:p>
      <w:pPr>
        <w:pBdr>
          <w:bottom w:val="single" w:color="3E5C76" w:sz="6"/>
        </w:pBdr>
        <w:spacing w:after="60" w:before="130"/>
      </w:pPr>
      <w:r>
        <w:rPr>
          <w:rFonts w:ascii="Malgun Gothic" w:cs="Malgun Gothic" w:eastAsia="Malgun Gothic" w:hAnsi="Malgun Gothic"/>
          <w:b/>
          <w:bCs/>
          <w:color w:val="3E5C76"/>
          <w:sz w:val="20"/>
          <w:szCs w:val="20"/>
        </w:rPr>
        <w:t xml:space="preserve">4. 자동 규칙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8610"/>
      </w:tblGrid>
      <w:tr>
        <w:tc>
          <w:tcPr>
            <w:tcW w:type="dxa" w:w="17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종속 규칙</w:t>
            </w:r>
          </w:p>
        </w:tc>
        <w:tc>
          <w:tcPr>
            <w:tcW w:type="dxa" w:w="86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P10 ↔ D1·V1 상호 체크 / P4·P5·P7 → V3(백오피스) / P7 → O2·O3 / 주주사·협회 채널 → P2(법무) / P8 → V2·P2 / V1 → V4(QA) / 채널 → 연동 디자인 모듈: C1~C9·C14→D2 · C8→D3 · C1·C5·C7~C9·C14→D5 · C10~C13→D7 / D1 → D6 동시 수반 / P3 → 예산 입력란 표시 · 자동 체크는 사유가 표시되며, 해제하면 경고 목록으로 안내</w:t>
            </w:r>
          </w:p>
        </w:tc>
      </w:tr>
      <w:tr>
        <w:tc>
          <w:tcPr>
            <w:tcW w:type="dxa" w:w="17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기한(D-) 계산</w:t>
            </w:r>
          </w:p>
        </w:tc>
        <w:tc>
          <w:tcPr>
            <w:tcW w:type="dxa" w:w="86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시작일 역산 기본값: 기획 D-28(1주차) · 디자인 D-21(2주차) · 개발 D-14(3주차) · 검수 D-7(4주차) · 오픈 D-Day — 준비 기간 4주 미만 시 비율 압축, 행별 직접 수정 가능</w:t>
            </w:r>
          </w:p>
        </w:tc>
      </w:tr>
      <w:tr>
        <w:tc>
          <w:tcPr>
            <w:tcW w:type="dxa" w:w="175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shd w:fill="EDF1F5" w:val="clear"/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26303A"/>
                <w:sz w:val="15"/>
                <w:szCs w:val="15"/>
              </w:rPr>
              <w:t xml:space="preserve">Excel 출력</w:t>
            </w:r>
          </w:p>
        </w:tc>
        <w:tc>
          <w:tcPr>
            <w:tcW w:type="dxa" w:w="8610"/>
            <w:tcBorders>
              <w:top w:val="single" w:color="C4CDD6" w:sz="4"/>
              <w:left w:val="single" w:color="C4CDD6" w:sz="4"/>
              <w:bottom w:val="single" w:color="C4CDD6" w:sz="4"/>
              <w:right w:val="single" w:color="C4CDD6" w:sz="4"/>
            </w:tcBorders>
            <w:tcMar>
              <w:top w:type="dxa" w:w="25"/>
              <w:left w:type="dxa" w:w="70"/>
              <w:bottom w:type="dxa" w:w="25"/>
              <w:right w:type="dxa" w:w="7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Malgun Gothic" w:cs="Malgun Gothic" w:eastAsia="Malgun Gothic" w:hAnsi="Malgun Gothic"/>
                <w:color w:val="26303A"/>
                <w:sz w:val="15"/>
                <w:szCs w:val="15"/>
              </w:rPr>
              <w:t xml:space="preserve">단일 시트(캠페인 개요 + 체크리스트) · A4 세로 1페이지 폭 · 헤더 행 인쇄 반복 · 상태 드롭다운(미착수/진행중/완료/N.A) + 상태별 색상 · "PDF로 저장" 시 그대로 출력</w:t>
            </w:r>
          </w:p>
        </w:tc>
      </w:tr>
    </w:tbl>
    <w:p>
      <w:pPr>
        <w:spacing w:before="80"/>
      </w:pPr>
      <w:r>
        <w:rPr>
          <w:rFonts w:ascii="Malgun Gothic" w:cs="Malgun Gothic" w:eastAsia="Malgun Gothic" w:hAnsi="Malgun Gothic"/>
          <w:color w:val="5B6773"/>
          <w:sz w:val="14"/>
          <w:szCs w:val="14"/>
        </w:rPr>
        <w:t xml:space="preserve">※ 디자인 요청은 아마란스 [기업등급플랫폼 구축] 미팅룸으로 전달(수정 요청 가능). 과업·채널 항목 수정은 index.html 상단 [데이터 정의] 배열만 고치면 됨(폴더 내 README 참조). 채널 목록(C1~C14) 변경 시 CHANNELS 배열만 갱신.</w:t>
      </w:r>
    </w:p>
    <w:sectPr>
      <w:pgSz w:w="11906" w:h="16838" w:orient="portrait"/>
      <w:pgMar w:top="680" w:right="740" w:bottom="570" w:left="7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6303A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2026-07-30T05:24:08.711Z</dcterms:created>
  <dcterms:modified xsi:type="dcterms:W3CDTF">2026-07-30T05:24:08.711Z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