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66534"/>
        <w:spacing w:after="40" w:before="120"/>
        <w:ind w:left="200" w:right="200"/>
        <w:jc w:val="left"/>
      </w:pPr>
      <w:r>
        <w:rPr>
          <w:b/>
          <w:bCs/>
          <w:color w:val="FFFFFF"/>
          <w:sz w:val="40"/>
          <w:szCs w:val="40"/>
        </w:rPr>
        <w:t xml:space="preserve">Priya Nair, CFA</w:t>
      </w:r>
    </w:p>
    <w:p>
      <w:pPr>
        <w:shd w:fill="166534"/>
        <w:spacing w:after="40"/>
        <w:ind w:left="200" w:right="200"/>
      </w:pPr>
      <w:r>
        <w:rPr>
          <w:color w:val="FFFFFF"/>
          <w:sz w:val="22"/>
          <w:szCs w:val="22"/>
        </w:rPr>
        <w:t xml:space="preserve">Senior Financial Analyst</w:t>
      </w:r>
    </w:p>
    <w:p>
      <w:pPr>
        <w:shd w:fill="166534"/>
        <w:spacing w:after="160"/>
        <w:ind w:left="200" w:right="200"/>
      </w:pPr>
      <w:r>
        <w:rPr>
          <w:color w:val="FFFFFF"/>
          <w:sz w:val="16"/>
          <w:szCs w:val="16"/>
        </w:rPr>
        <w:t xml:space="preserve">priya.nair@finmail.com | +1 (646) 555-0178 | New York, NY | linkedin.com/in/priyanair</w:t>
      </w:r>
    </w:p>
    <w:p>
      <w:pPr>
        <w:pBdr>
          <w:bottom w:val="single" w:color="166534" w:sz="6" w:space="2"/>
        </w:pBdr>
        <w:spacing w:after="120" w:before="240"/>
      </w:pPr>
      <w:r>
        <w:rPr>
          <w:b/>
          <w:bCs/>
          <w:color w:val="166534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sz w:val="20"/>
          <w:szCs w:val="20"/>
        </w:rPr>
        <w:t xml:space="preserve">CFA charterholder with 8+ years in corporate finance and FP&amp;A. Model 3-year forecasts for a $1.2B portfolio, cut forecasting cycle 45% with automated pipelines, and partner with leadership on $60M+ capital decisions.</w:t>
      </w:r>
    </w:p>
    <w:p>
      <w:pPr>
        <w:pBdr>
          <w:bottom w:val="single" w:color="166534" w:sz="6" w:space="2"/>
        </w:pBdr>
        <w:spacing w:after="120" w:before="240"/>
      </w:pPr>
      <w:r>
        <w:rPr>
          <w:b/>
          <w:bCs/>
          <w:color w:val="166534"/>
          <w:sz w:val="22"/>
          <w:szCs w:val="22"/>
        </w:rPr>
        <w:t xml:space="preserve">PROFESSIONAL EXPERIENCE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Senior Financial Analyst  |  Meridian Capital, New York, NY</w:t>
      </w:r>
    </w:p>
    <w:p>
      <w:r>
        <w:rPr>
          <w:i/>
          <w:iCs/>
          <w:color w:val="6B7280"/>
          <w:sz w:val="18"/>
          <w:szCs w:val="18"/>
        </w:rPr>
        <w:t xml:space="preserve">2020 - Present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Own FP&amp;A for a $1.2B business unit; delivered board-ready reporting that improved forecast accuracy 22%.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Automated the monthly close and forecast process (Excel + SQL + Python), saving 180 analyst-hours/month.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Modeled 12 acquisition scenarios; supported a $60M acquisition completed 2 months ahead of plan.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Financial Analyst  |  Brightline Holdings, New York, NY</w:t>
      </w:r>
    </w:p>
    <w:p>
      <w:r>
        <w:rPr>
          <w:i/>
          <w:iCs/>
          <w:color w:val="6B7280"/>
          <w:sz w:val="18"/>
          <w:szCs w:val="18"/>
        </w:rPr>
        <w:t xml:space="preserve">2017 - 2020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driver-based revenue models used across 5 business lines, guiding a 15% margin expansion.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Produced weekly variance analysis for the CFO; identified $4.1M in annual cost savings.</w:t>
      </w:r>
    </w:p>
    <w:p>
      <w:pPr>
        <w:pBdr>
          <w:bottom w:val="single" w:color="166534" w:sz="6" w:space="2"/>
        </w:pBdr>
        <w:spacing w:after="120" w:before="240"/>
      </w:pPr>
      <w:r>
        <w:rPr>
          <w:b/>
          <w:bCs/>
          <w:color w:val="166534"/>
          <w:sz w:val="22"/>
          <w:szCs w:val="22"/>
        </w:rPr>
        <w:t xml:space="preserve">CORE SKILLS</w:t>
      </w:r>
    </w:p>
    <w:p>
      <w:pPr>
        <w:spacing w:after="120"/>
      </w:pPr>
      <w:r>
        <w:rPr>
          <w:sz w:val="20"/>
          <w:szCs w:val="20"/>
        </w:rPr>
        <w:t xml:space="preserve">Financial Modeling   •   FP&amp;A   •   Forecasting   •   Variance Analysis   •   Excel / VBA   •   SQL   •   Python   •   Tableau   •   M&amp;A Support   •   Board Reporting</w:t>
      </w:r>
    </w:p>
    <w:p>
      <w:pPr>
        <w:pBdr>
          <w:bottom w:val="single" w:color="166534" w:sz="6" w:space="2"/>
        </w:pBdr>
        <w:spacing w:after="120" w:before="240"/>
      </w:pPr>
      <w:r>
        <w:rPr>
          <w:b/>
          <w:bCs/>
          <w:color w:val="166534"/>
          <w:sz w:val="22"/>
          <w:szCs w:val="22"/>
        </w:rPr>
        <w:t xml:space="preserve">EDUCATION</w:t>
      </w:r>
    </w:p>
    <w:p>
      <w:pPr>
        <w:spacing w:before="80"/>
      </w:pPr>
      <w:r>
        <w:rPr>
          <w:b/>
          <w:bCs/>
          <w:sz w:val="21"/>
          <w:szCs w:val="21"/>
        </w:rPr>
        <w:t xml:space="preserve">B.S. in Finance, magna cum laude</w:t>
      </w:r>
    </w:p>
    <w:p>
      <w:r>
        <w:rPr>
          <w:color w:val="6B7280"/>
          <w:sz w:val="18"/>
          <w:szCs w:val="18"/>
        </w:rPr>
        <w:t xml:space="preserve">Fordham University  •  2017</w:t>
      </w:r>
    </w:p>
    <w:p>
      <w:pPr>
        <w:pBdr>
          <w:bottom w:val="single" w:color="166534" w:sz="6" w:space="2"/>
        </w:pBdr>
        <w:spacing w:after="120" w:before="240"/>
      </w:pPr>
      <w:r>
        <w:rPr>
          <w:b/>
          <w:bCs/>
          <w:color w:val="16653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CFA Charterholder (2021)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Financial Modeling &amp; Valuation Analyst - FMVA (2019)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2026-08-15T11:26:16.138Z</dcterms:created>
  <dcterms:modified xsi:type="dcterms:W3CDTF">2026-08-15T11:26:16.138Z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