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FBF"/>
          <w:spacing w:val="40"/>
          <w:sz w:val="18"/>
          <w:szCs w:val="18"/>
        </w:rPr>
        <w:t xml:space="preserve">AMPERE ELECTRIC</w:t>
      </w:r>
    </w:p>
    <w:p>
      <w:pPr>
        <w:spacing w:after="110"/>
      </w:pPr>
      <w:r>
        <w:rPr>
          <w:b/>
          <w:bCs/>
          <w:color w:val="1A1A1A"/>
          <w:sz w:val="42"/>
          <w:szCs w:val="42"/>
        </w:rPr>
        <w:t xml:space="preserve">The new booking page</w:t>
      </w:r>
    </w:p>
    <w:p>
      <w:pPr>
        <w:spacing w:after="300"/>
      </w:pPr>
      <w:r>
        <w:rPr>
          <w:color w:val="5A5A5A"/>
          <w:sz w:val="25"/>
          <w:szCs w:val="25"/>
        </w:rPr>
        <w:t xml:space="preserve">Information and decisions we need to go live</w:t>
      </w: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70" w:line="288"/>
            </w:pPr>
            <w:r>
              <w:rPr>
                <w:color w:val="1A1A1A"/>
                <w:sz w:val="21"/>
                <w:szCs w:val="21"/>
              </w:rPr>
              <w:t xml:space="preserve">The booking page is built and working. It runs today on placeholder data. To switch it on for real customers we need the information below from a few teams, plus a small number of decisions.</w:t>
            </w:r>
          </w:p>
          <w:p>
            <w:pPr>
              <w:spacing w:after="70" w:line="288"/>
            </w:pPr>
            <w:r>
              <w:rPr>
                <w:color w:val="1A1A1A"/>
                <w:sz w:val="21"/>
                <w:szCs w:val="21"/>
              </w:rPr>
              <w:t xml:space="preserve">Nothing here is further development work. Each item is something we need handed to us, or a decision somebody needs to make.</w:t>
            </w:r>
          </w:p>
          <w:p>
            <w:pPr>
              <w:spacing w:after="70" w:line="288"/>
            </w:pPr>
            <w:r>
              <w:rPr>
                <w:color w:val="1A1A1A"/>
                <w:sz w:val="21"/>
                <w:szCs w:val="21"/>
              </w:rPr>
              <w:t xml:space="preserve">Each section says exactly what we need, and why we need it. Sections can be forwarded separately to the team that owns them.</w:t>
            </w:r>
          </w:p>
        </w:tc>
      </w:tr>
    </w:tbl>
    <w:p>
      <w:pPr>
        <w:spacing w:after="260"/>
      </w:pPr>
    </w:p>
    <w:p>
      <w:pPr>
        <w:pStyle w:val="Heading1"/>
        <w:spacing w:after="60" w:before="60"/>
      </w:pPr>
      <w:r>
        <w:rPr>
          <w:b/>
          <w:bCs/>
          <w:color w:val="1A1A1A"/>
          <w:sz w:val="30"/>
          <w:szCs w:val="30"/>
        </w:rPr>
        <w:t xml:space="preserve">1. Juspay</w:t>
      </w:r>
    </w:p>
    <w:p>
      <w:pPr>
        <w:spacing w:after="220"/>
      </w:pPr>
      <w:r>
        <w:rPr>
          <w:b/>
          <w:bCs/>
          <w:color w:val="5A5A5A"/>
          <w:sz w:val="19"/>
          <w:szCs w:val="19"/>
        </w:rPr>
        <w:t xml:space="preserve">Send this section to:  </w:t>
      </w:r>
      <w:r>
        <w:rPr>
          <w:color w:val="5A5A5A"/>
          <w:sz w:val="19"/>
          <w:szCs w:val="19"/>
        </w:rPr>
        <w:t xml:space="preserve">Juspay integration / solutions team</w:t>
      </w:r>
    </w:p>
    <w:p>
      <w:pPr>
        <w:spacing w:after="130" w:line="288"/>
      </w:pPr>
      <w:r>
        <w:rPr>
          <w:color w:val="1A1A1A"/>
          <w:sz w:val="21"/>
          <w:szCs w:val="21"/>
        </w:rPr>
        <w:t xml:space="preserve">Reference: </w:t>
      </w:r>
      <w:r>
        <w:rPr>
          <w:i/>
          <w:iCs/>
          <w:color w:val="1A1A1A"/>
          <w:sz w:val="21"/>
          <w:szCs w:val="21"/>
        </w:rPr>
        <w:t xml:space="preserve">"Integration steps with Juspay APIs and webhooks"</w:t>
      </w:r>
      <w:r>
        <w:rPr>
          <w:color w:val="1A1A1A"/>
          <w:sz w:val="21"/>
          <w:szCs w:val="21"/>
        </w:rPr>
        <w:t xml:space="preserve"> (Hypercredit), shared with us. The items below are either missing from that document or stated ambiguously in it.</w:t>
      </w:r>
    </w:p>
    <w:p>
      <w:pPr>
        <w:pStyle w:val="Heading2"/>
        <w:spacing w:after="130" w:before="320"/>
      </w:pPr>
      <w:r>
        <w:rPr>
          <w:b/>
          <w:bCs/>
          <w:color w:val="1A1A1A"/>
          <w:sz w:val="23"/>
          <w:szCs w:val="23"/>
        </w:rPr>
        <w:t xml:space="preserve">1.1 Webhook signature verification</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The signing algorithm — for example </w:t>
      </w:r>
      <w:r>
        <w:rPr>
          <w:rFonts w:ascii="Consolas" w:cs="Consolas" w:eastAsia="Consolas" w:hAnsi="Consolas"/>
          <w:color w:val="C7254E"/>
          <w:sz w:val="19"/>
          <w:szCs w:val="19"/>
        </w:rPr>
        <w:t xml:space="preserve">HMAC-SHA256</w:t>
      </w:r>
    </w:p>
    <w:p>
      <w:pPr>
        <w:pStyle w:val="ListParagraph"/>
        <w:numPr>
          <w:ilvl w:val="0"/>
          <w:numId w:val="2"/>
        </w:numPr>
        <w:spacing w:after="80" w:line="288"/>
      </w:pPr>
      <w:r>
        <w:rPr>
          <w:color w:val="1A1A1A"/>
          <w:sz w:val="21"/>
          <w:szCs w:val="21"/>
        </w:rPr>
        <w:t xml:space="preserve">The HTTP header the signature arrives in — for example </w:t>
      </w:r>
      <w:r>
        <w:rPr>
          <w:rFonts w:ascii="Consolas" w:cs="Consolas" w:eastAsia="Consolas" w:hAnsi="Consolas"/>
          <w:color w:val="C7254E"/>
          <w:sz w:val="19"/>
          <w:szCs w:val="19"/>
        </w:rPr>
        <w:t xml:space="preserve">x-juspay-signature</w:t>
      </w:r>
    </w:p>
    <w:p>
      <w:pPr>
        <w:pStyle w:val="ListParagraph"/>
        <w:numPr>
          <w:ilvl w:val="0"/>
          <w:numId w:val="2"/>
        </w:numPr>
        <w:spacing w:after="80" w:line="288"/>
      </w:pPr>
      <w:r>
        <w:rPr>
          <w:color w:val="1A1A1A"/>
          <w:sz w:val="21"/>
          <w:szCs w:val="21"/>
        </w:rPr>
        <w:t xml:space="preserve">Exactly what is signed: the raw request body as sent, or a canonicalised form. If canonicalised, the rules.</w:t>
      </w:r>
    </w:p>
    <w:p>
      <w:pPr>
        <w:pStyle w:val="ListParagraph"/>
        <w:numPr>
          <w:ilvl w:val="0"/>
          <w:numId w:val="2"/>
        </w:numPr>
        <w:spacing w:after="80" w:line="288"/>
      </w:pPr>
      <w:r>
        <w:rPr>
          <w:color w:val="1A1A1A"/>
          <w:sz w:val="21"/>
          <w:szCs w:val="21"/>
        </w:rPr>
        <w:t xml:space="preserve">How the signing secret is issued to us, and how it is rotated.</w:t>
      </w:r>
    </w:p>
    <w:p>
      <w:pPr>
        <w:pStyle w:val="ListParagraph"/>
        <w:numPr>
          <w:ilvl w:val="0"/>
          <w:numId w:val="2"/>
        </w:numPr>
        <w:spacing w:after="80" w:line="288"/>
      </w:pPr>
      <w:r>
        <w:rPr>
          <w:color w:val="1A1A1A"/>
          <w:sz w:val="21"/>
          <w:szCs w:val="21"/>
        </w:rPr>
        <w:t xml:space="preserve">A worked example: one sample payload with its correct signature, so we can confirm our implementation matches yours.</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Your servers notify ours when a payment succeeds. Our system reads that notification and marks the order paid, which releases a scooter to the customer.</w:t>
            </w:r>
          </w:p>
          <w:p>
            <w:pPr>
              <w:spacing w:after="70" w:line="288"/>
            </w:pPr>
            <w:r>
              <w:rPr>
                <w:color w:val="1A1A1A"/>
                <w:sz w:val="21"/>
                <w:szCs w:val="21"/>
              </w:rPr>
              <w:t xml:space="preserve">Without a way to verify the notification genuinely came from Juspay, anyone who discovers our webhook address could send a forged message saying an unpaid order was paid. We would hand over a vehicle nobody paid for.</w:t>
            </w:r>
          </w:p>
        </w:tc>
      </w:tr>
    </w:tbl>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FF4E5" w:val="clear"/>
            <w:tcMar>
              <w:top w:type="dxa" w:w="150"/>
              <w:left w:type="dxa" w:w="170"/>
              <w:bottom w:type="dxa" w:w="150"/>
              <w:right w:type="dxa" w:w="170"/>
            </w:tcMar>
          </w:tcPr>
          <w:p>
            <w:pPr>
              <w:spacing w:after="80"/>
            </w:pPr>
            <w:r>
              <w:rPr>
                <w:b/>
                <w:bCs/>
                <w:color w:val="1A1A1A"/>
                <w:sz w:val="19"/>
                <w:szCs w:val="19"/>
              </w:rPr>
              <w:t xml:space="preserve">Blocking</w:t>
            </w:r>
          </w:p>
          <w:p>
            <w:pPr>
              <w:spacing w:after="70" w:line="288"/>
            </w:pPr>
            <w:r>
              <w:rPr>
                <w:color w:val="1A1A1A"/>
                <w:sz w:val="21"/>
                <w:szCs w:val="21"/>
              </w:rPr>
              <w:t xml:space="preserve">We cannot go live without this. It is the single most important open item.</w:t>
            </w:r>
          </w:p>
        </w:tc>
      </w:tr>
    </w:tbl>
    <w:p>
      <w:pPr>
        <w:pStyle w:val="Heading2"/>
        <w:spacing w:after="130" w:before="320"/>
      </w:pPr>
      <w:r>
        <w:rPr>
          <w:b/>
          <w:bCs/>
          <w:color w:val="1A1A1A"/>
          <w:sz w:val="23"/>
          <w:szCs w:val="23"/>
        </w:rPr>
        <w:t xml:space="preserve">1.2 Webhook payload samples</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The complete JSON body of a successful payment notification, exactly as sent.</w:t>
      </w:r>
    </w:p>
    <w:p>
      <w:pPr>
        <w:pStyle w:val="ListParagraph"/>
        <w:numPr>
          <w:ilvl w:val="0"/>
          <w:numId w:val="2"/>
        </w:numPr>
        <w:spacing w:after="80" w:line="288"/>
      </w:pPr>
      <w:r>
        <w:rPr>
          <w:color w:val="1A1A1A"/>
          <w:sz w:val="21"/>
          <w:szCs w:val="21"/>
        </w:rPr>
        <w:t xml:space="preserve">The same for a failed payment.</w:t>
      </w:r>
    </w:p>
    <w:p>
      <w:pPr>
        <w:pStyle w:val="ListParagraph"/>
        <w:numPr>
          <w:ilvl w:val="0"/>
          <w:numId w:val="2"/>
        </w:numPr>
        <w:spacing w:after="80" w:line="288"/>
      </w:pPr>
      <w:r>
        <w:rPr>
          <w:color w:val="1A1A1A"/>
          <w:sz w:val="21"/>
          <w:szCs w:val="21"/>
        </w:rPr>
        <w:t xml:space="preserve">Both of the above for a </w:t>
      </w:r>
      <w:r>
        <w:rPr>
          <w:b/>
          <w:bCs/>
          <w:color w:val="1A1A1A"/>
          <w:sz w:val="21"/>
          <w:szCs w:val="21"/>
        </w:rPr>
        <w:t xml:space="preserve">two-transaction order</w:t>
      </w:r>
      <w:r>
        <w:rPr>
          <w:color w:val="1A1A1A"/>
          <w:sz w:val="21"/>
          <w:szCs w:val="21"/>
        </w:rPr>
        <w:t xml:space="preserve"> — loan plus downpayment — since your document states these arrive as separate transactions.</w:t>
      </w:r>
    </w:p>
    <w:p>
      <w:pPr>
        <w:pStyle w:val="ListParagraph"/>
        <w:numPr>
          <w:ilvl w:val="0"/>
          <w:numId w:val="2"/>
        </w:numPr>
        <w:spacing w:after="80" w:line="288"/>
      </w:pPr>
      <w:r>
        <w:rPr>
          <w:color w:val="1A1A1A"/>
          <w:sz w:val="21"/>
          <w:szCs w:val="21"/>
        </w:rPr>
        <w:t xml:space="preserve">Confirmation of which fields carry: </w:t>
      </w:r>
      <w:r>
        <w:rPr>
          <w:rFonts w:ascii="Consolas" w:cs="Consolas" w:eastAsia="Consolas" w:hAnsi="Consolas"/>
          <w:color w:val="C7254E"/>
          <w:sz w:val="19"/>
          <w:szCs w:val="19"/>
        </w:rPr>
        <w:t xml:space="preserve">order_id</w:t>
      </w:r>
      <w:r>
        <w:rPr>
          <w:color w:val="1A1A1A"/>
          <w:sz w:val="21"/>
          <w:szCs w:val="21"/>
        </w:rPr>
        <w:t xml:space="preserve">, </w:t>
      </w:r>
      <w:r>
        <w:rPr>
          <w:rFonts w:ascii="Consolas" w:cs="Consolas" w:eastAsia="Consolas" w:hAnsi="Consolas"/>
          <w:color w:val="C7254E"/>
          <w:sz w:val="19"/>
          <w:szCs w:val="19"/>
        </w:rPr>
        <w:t xml:space="preserve">status</w:t>
      </w:r>
      <w:r>
        <w:rPr>
          <w:color w:val="1A1A1A"/>
          <w:sz w:val="21"/>
          <w:szCs w:val="21"/>
        </w:rPr>
        <w:t xml:space="preserve">, the amount, and </w:t>
      </w:r>
      <w:r>
        <w:rPr>
          <w:rFonts w:ascii="Consolas" w:cs="Consolas" w:eastAsia="Consolas" w:hAnsi="Consolas"/>
          <w:color w:val="C7254E"/>
          <w:sz w:val="19"/>
          <w:szCs w:val="19"/>
        </w:rPr>
        <w:t xml:space="preserve">epg_txn_id</w:t>
      </w:r>
      <w:r>
        <w:rPr>
          <w:color w:val="1A1A1A"/>
          <w:sz w:val="21"/>
          <w:szCs w:val="21"/>
        </w:rPr>
        <w:t xml:space="preserve"> (the TVS Credit loan reference).</w:t>
      </w:r>
    </w:p>
    <w:p>
      <w:pPr>
        <w:pStyle w:val="ListParagraph"/>
        <w:numPr>
          <w:ilvl w:val="0"/>
          <w:numId w:val="2"/>
        </w:numPr>
        <w:spacing w:after="80" w:line="288"/>
      </w:pPr>
      <w:r>
        <w:rPr>
          <w:color w:val="1A1A1A"/>
          <w:sz w:val="21"/>
          <w:szCs w:val="21"/>
        </w:rPr>
        <w:t xml:space="preserve">The full list of </w:t>
      </w:r>
      <w:r>
        <w:rPr>
          <w:rFonts w:ascii="Consolas" w:cs="Consolas" w:eastAsia="Consolas" w:hAnsi="Consolas"/>
          <w:color w:val="C7254E"/>
          <w:sz w:val="19"/>
          <w:szCs w:val="19"/>
        </w:rPr>
        <w:t xml:space="preserve">txn_status</w:t>
      </w:r>
      <w:r>
        <w:rPr>
          <w:color w:val="1A1A1A"/>
          <w:sz w:val="21"/>
          <w:szCs w:val="21"/>
        </w:rPr>
        <w:t xml:space="preserve"> values we should expect, beyond the three in your document.</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Your document links to general documentation rather than giving the actual payloads. We need the real structure to read these notifications correctly.</w:t>
            </w:r>
          </w:p>
          <w:p>
            <w:pPr>
              <w:spacing w:after="70" w:line="288"/>
            </w:pPr>
            <w:r>
              <w:rPr>
                <w:color w:val="1A1A1A"/>
                <w:sz w:val="21"/>
                <w:szCs w:val="21"/>
              </w:rPr>
              <w:t xml:space="preserve">The two-transaction case matters most: if a customer takes a loan and also pays a deposit, we receive two notifications and must know when the order is genuinely complete rather than half paid.</w:t>
            </w:r>
          </w:p>
        </w:tc>
      </w:tr>
    </w:tbl>
    <w:p>
      <w:pPr>
        <w:pStyle w:val="Heading2"/>
        <w:spacing w:after="130" w:before="320"/>
      </w:pPr>
      <w:r>
        <w:rPr>
          <w:b/>
          <w:bCs/>
          <w:color w:val="1A1A1A"/>
          <w:sz w:val="23"/>
          <w:szCs w:val="23"/>
        </w:rPr>
        <w:t xml:space="preserve">1.3 Order Status API</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The endpoint URL for sandbox and production.</w:t>
      </w:r>
    </w:p>
    <w:p>
      <w:pPr>
        <w:pStyle w:val="ListParagraph"/>
        <w:numPr>
          <w:ilvl w:val="0"/>
          <w:numId w:val="2"/>
        </w:numPr>
        <w:spacing w:after="80" w:line="288"/>
      </w:pPr>
      <w:r>
        <w:rPr>
          <w:color w:val="1A1A1A"/>
          <w:sz w:val="21"/>
          <w:szCs w:val="21"/>
        </w:rPr>
        <w:t xml:space="preserve">The required request headers and authentication.</w:t>
      </w:r>
    </w:p>
    <w:p>
      <w:pPr>
        <w:pStyle w:val="ListParagraph"/>
        <w:numPr>
          <w:ilvl w:val="0"/>
          <w:numId w:val="2"/>
        </w:numPr>
        <w:spacing w:after="80" w:line="288"/>
      </w:pPr>
      <w:r>
        <w:rPr>
          <w:color w:val="1A1A1A"/>
          <w:sz w:val="21"/>
          <w:szCs w:val="21"/>
        </w:rPr>
        <w:t xml:space="preserve">A complete sample response for a paid order, and for a failed one.</w:t>
      </w:r>
    </w:p>
    <w:p>
      <w:pPr>
        <w:pStyle w:val="ListParagraph"/>
        <w:numPr>
          <w:ilvl w:val="0"/>
          <w:numId w:val="2"/>
        </w:numPr>
        <w:spacing w:after="80" w:line="288"/>
      </w:pPr>
      <w:r>
        <w:rPr>
          <w:color w:val="1A1A1A"/>
          <w:sz w:val="21"/>
          <w:szCs w:val="21"/>
        </w:rPr>
        <w:t xml:space="preserve">The same for a two-transaction order.</w:t>
      </w:r>
    </w:p>
    <w:p>
      <w:pPr>
        <w:pStyle w:val="ListParagraph"/>
        <w:numPr>
          <w:ilvl w:val="0"/>
          <w:numId w:val="2"/>
        </w:numPr>
        <w:spacing w:after="80" w:line="288"/>
      </w:pPr>
      <w:r>
        <w:rPr>
          <w:color w:val="1A1A1A"/>
          <w:sz w:val="21"/>
          <w:szCs w:val="21"/>
        </w:rPr>
        <w:t xml:space="preserve">Which single field we should treat as authoritative when deciding paid or not paid.</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A customer paying by UPI is switched into another app and back. One paying by EMI is routed through their bank. Both routinely return to our page before your notification reaches our servers.</w:t>
            </w:r>
          </w:p>
          <w:p>
            <w:pPr>
              <w:spacing w:after="70" w:line="288"/>
            </w:pPr>
            <w:r>
              <w:rPr>
                <w:color w:val="1A1A1A"/>
                <w:sz w:val="21"/>
                <w:szCs w:val="21"/>
              </w:rPr>
              <w:t xml:space="preserve">When that happens we need to ask Juspay directly: did this person pay? Without this we would have to guess, and guessing on a payment screen is the worst mistake available to us.</w:t>
            </w:r>
          </w:p>
        </w:tc>
      </w:tr>
    </w:tbl>
    <w:p>
      <w:pPr>
        <w:pStyle w:val="Heading2"/>
        <w:spacing w:after="130" w:before="320"/>
      </w:pPr>
      <w:r>
        <w:rPr>
          <w:b/>
          <w:bCs/>
          <w:color w:val="1A1A1A"/>
          <w:sz w:val="23"/>
          <w:szCs w:val="23"/>
        </w:rPr>
        <w:t xml:space="preserve">1.4 Sandbox credentials</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API key for the </w:t>
      </w:r>
      <w:r>
        <w:rPr>
          <w:rFonts w:ascii="Consolas" w:cs="Consolas" w:eastAsia="Consolas" w:hAnsi="Consolas"/>
          <w:color w:val="C7254E"/>
          <w:sz w:val="19"/>
          <w:szCs w:val="19"/>
        </w:rPr>
        <w:t xml:space="preserve">Authorization</w:t>
      </w:r>
      <w:r>
        <w:rPr>
          <w:color w:val="1A1A1A"/>
          <w:sz w:val="21"/>
          <w:szCs w:val="21"/>
        </w:rPr>
        <w:t xml:space="preserve"> header</w:t>
      </w:r>
    </w:p>
    <w:p>
      <w:pPr>
        <w:pStyle w:val="ListParagraph"/>
        <w:numPr>
          <w:ilvl w:val="0"/>
          <w:numId w:val="2"/>
        </w:numPr>
        <w:spacing w:after="80" w:line="288"/>
      </w:pPr>
      <w:r>
        <w:rPr>
          <w:rFonts w:ascii="Consolas" w:cs="Consolas" w:eastAsia="Consolas" w:hAnsi="Consolas"/>
          <w:color w:val="C7254E"/>
          <w:sz w:val="19"/>
          <w:szCs w:val="19"/>
        </w:rPr>
        <w:t xml:space="preserve">payment_page_client_id</w:t>
      </w:r>
    </w:p>
    <w:p>
      <w:pPr>
        <w:pStyle w:val="ListParagraph"/>
        <w:numPr>
          <w:ilvl w:val="0"/>
          <w:numId w:val="2"/>
        </w:numPr>
        <w:spacing w:after="80" w:line="288"/>
      </w:pPr>
      <w:r>
        <w:rPr>
          <w:color w:val="1A1A1A"/>
          <w:sz w:val="21"/>
          <w:szCs w:val="21"/>
        </w:rPr>
        <w:t xml:space="preserve">Merchant ID</w:t>
      </w:r>
    </w:p>
    <w:p>
      <w:pPr>
        <w:pStyle w:val="ListParagraph"/>
        <w:numPr>
          <w:ilvl w:val="0"/>
          <w:numId w:val="2"/>
        </w:numPr>
        <w:spacing w:after="80" w:line="288"/>
      </w:pPr>
      <w:r>
        <w:rPr>
          <w:color w:val="1A1A1A"/>
          <w:sz w:val="21"/>
          <w:szCs w:val="21"/>
        </w:rPr>
        <w:t xml:space="preserve">Confirmation of the sandbox base URL</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We have built and tested the entire payment flow against a simulator. Before going live we need to run genuine transactions through your sandbox to confirm our integration matches your actual behaviour.</w:t>
            </w:r>
          </w:p>
        </w:tc>
      </w:tr>
    </w:tbl>
    <w:p>
      <w:pPr>
        <w:pStyle w:val="Heading2"/>
        <w:spacing w:after="130" w:before="320"/>
      </w:pPr>
      <w:r>
        <w:rPr>
          <w:b/>
          <w:bCs/>
          <w:color w:val="1A1A1A"/>
          <w:sz w:val="23"/>
          <w:szCs w:val="23"/>
        </w:rPr>
        <w:t xml:space="preserve">1.5 Clarifications on the Capture API and payment rules</w:t>
      </w:r>
    </w:p>
    <w:p>
      <w:pPr>
        <w:spacing w:after="130" w:line="288"/>
      </w:pPr>
      <w:r>
        <w:rPr>
          <w:color w:val="1A1A1A"/>
          <w:sz w:val="21"/>
          <w:szCs w:val="21"/>
        </w:rPr>
        <w:t xml:space="preserve">Each of the following changes how we build the integration, so we need answers before we finalise.</w:t>
      </w:r>
    </w:p>
    <w:p>
      <w:pPr>
        <w:spacing w:after="110"/>
      </w:pPr>
    </w:p>
    <w:tbl>
      <w:tblPr>
        <w:tblW w:type="dxa" w:w="9026"/>
        <w:tblBorders>
          <w:top w:val="single" w:color="D5D7DA" w:sz="2"/>
          <w:left w:val="single" w:color="D5D7DA" w:sz="2"/>
          <w:bottom w:val="single" w:color="D5D7DA" w:sz="2"/>
          <w:right w:val="single" w:color="D5D7DA" w:sz="2"/>
          <w:insideH w:val="single" w:color="D5D7DA" w:sz="2"/>
          <w:insideV w:val="single" w:color="D5D7DA" w:sz="2"/>
        </w:tblBorders>
      </w:tblPr>
      <w:tblGrid>
        <w:gridCol w:w="3971"/>
        <w:gridCol w:w="5055"/>
      </w:tblGrid>
      <w:tr>
        <w:trPr>
          <w:tblHeader/>
        </w:trPr>
        <w:tc>
          <w:tcPr>
            <w:tcW w:type="dxa" w:w="3971"/>
            <w:shd w:fill="EFEFEF" w:val="clear"/>
            <w:tcMar>
              <w:top w:type="dxa" w:w="110"/>
              <w:left w:type="dxa" w:w="130"/>
              <w:bottom w:type="dxa" w:w="110"/>
              <w:right w:type="dxa" w:w="130"/>
            </w:tcMar>
          </w:tcPr>
          <w:p>
            <w:pPr>
              <w:spacing w:after="0" w:line="276"/>
            </w:pPr>
            <w:r>
              <w:rPr>
                <w:b/>
                <w:bCs/>
                <w:color w:val="1A1A1A"/>
                <w:sz w:val="19"/>
                <w:szCs w:val="19"/>
              </w:rPr>
              <w:t xml:space="preserve">Question</w:t>
            </w:r>
          </w:p>
        </w:tc>
        <w:tc>
          <w:tcPr>
            <w:tcW w:type="dxa" w:w="5055"/>
            <w:shd w:fill="EFEFEF" w:val="clear"/>
            <w:tcMar>
              <w:top w:type="dxa" w:w="110"/>
              <w:left w:type="dxa" w:w="130"/>
              <w:bottom w:type="dxa" w:w="110"/>
              <w:right w:type="dxa" w:w="130"/>
            </w:tcMar>
          </w:tcPr>
          <w:p>
            <w:pPr>
              <w:spacing w:after="0" w:line="276"/>
            </w:pPr>
            <w:r>
              <w:rPr>
                <w:b/>
                <w:bCs/>
                <w:color w:val="1A1A1A"/>
                <w:sz w:val="19"/>
                <w:szCs w:val="19"/>
              </w:rPr>
              <w:t xml:space="preserve">Why we are asking</w:t>
            </w:r>
          </w:p>
        </w:tc>
      </w:tr>
      <w:tr>
        <w:tc>
          <w:tcPr>
            <w:tcW w:type="dxa" w:w="3971"/>
            <w:tcMar>
              <w:top w:type="dxa" w:w="110"/>
              <w:left w:type="dxa" w:w="130"/>
              <w:bottom w:type="dxa" w:w="110"/>
              <w:right w:type="dxa" w:w="130"/>
            </w:tcMar>
          </w:tcPr>
          <w:p>
            <w:pPr>
              <w:spacing w:after="0" w:line="276"/>
            </w:pPr>
            <w:r>
              <w:rPr>
                <w:color w:val="1A1A1A"/>
                <w:sz w:val="21"/>
                <w:szCs w:val="21"/>
              </w:rPr>
              <w:t xml:space="preserve">Is </w:t>
            </w:r>
            <w:r>
              <w:rPr>
                <w:rFonts w:ascii="Consolas" w:cs="Consolas" w:eastAsia="Consolas" w:hAnsi="Consolas"/>
                <w:color w:val="C7254E"/>
                <w:sz w:val="19"/>
                <w:szCs w:val="19"/>
              </w:rPr>
              <w:t xml:space="preserve">/v2/txns/{txn_uuid}/capture</w:t>
            </w:r>
            <w:r>
              <w:rPr>
                <w:color w:val="1A1A1A"/>
                <w:sz w:val="21"/>
                <w:szCs w:val="21"/>
              </w:rPr>
              <w:t xml:space="preserve"> required for non-</w:t>
            </w:r>
            <w:r>
              <w:rPr>
                <w:rFonts w:ascii="Consolas" w:cs="Consolas" w:eastAsia="Consolas" w:hAnsi="Consolas"/>
                <w:color w:val="C7254E"/>
                <w:sz w:val="19"/>
                <w:szCs w:val="19"/>
              </w:rPr>
              <w:t xml:space="preserve">CONSUMER_FINANCE</w:t>
            </w:r>
            <w:r>
              <w:rPr>
                <w:color w:val="1A1A1A"/>
                <w:sz w:val="21"/>
                <w:szCs w:val="21"/>
              </w:rPr>
              <w:t xml:space="preserve"> payments? If a customer pays by UPI or card, does the money move automatically, or must we still call capture?</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Your document describes an auth-and-capture flow for loans: the customer is authorised, then the merchant must send a second instruction to actually charge them. We need to know whether ordinary payments behave the same way. If we assume wrongly, either customers are charged twice or never charged at all.</w:t>
            </w:r>
          </w:p>
        </w:tc>
      </w:tr>
      <w:tr>
        <w:tc>
          <w:tcPr>
            <w:tcW w:type="dxa" w:w="3971"/>
            <w:tcMar>
              <w:top w:type="dxa" w:w="110"/>
              <w:left w:type="dxa" w:w="130"/>
              <w:bottom w:type="dxa" w:w="110"/>
              <w:right w:type="dxa" w:w="130"/>
            </w:tcMar>
          </w:tcPr>
          <w:p>
            <w:pPr>
              <w:spacing w:after="0" w:line="276"/>
            </w:pPr>
            <w:r>
              <w:rPr>
                <w:color w:val="1A1A1A"/>
                <w:sz w:val="21"/>
                <w:szCs w:val="21"/>
              </w:rPr>
              <w:t xml:space="preserve">Is the </w:t>
            </w:r>
            <w:r>
              <w:rPr>
                <w:rFonts w:ascii="Consolas" w:cs="Consolas" w:eastAsia="Consolas" w:hAnsi="Consolas"/>
                <w:color w:val="C7254E"/>
                <w:sz w:val="19"/>
                <w:szCs w:val="19"/>
              </w:rPr>
              <w:t xml:space="preserve">invoice</w:t>
            </w:r>
            <w:r>
              <w:rPr>
                <w:color w:val="1A1A1A"/>
                <w:sz w:val="21"/>
                <w:szCs w:val="21"/>
              </w:rPr>
              <w:t xml:space="preserve"> object mandatory on capture? Your field table marks it optional; the surrounding text treats it as required. Which is correct? And which </w:t>
            </w:r>
            <w:r>
              <w:rPr>
                <w:rFonts w:ascii="Consolas" w:cs="Consolas" w:eastAsia="Consolas" w:hAnsi="Consolas"/>
                <w:color w:val="C7254E"/>
                <w:sz w:val="19"/>
                <w:szCs w:val="19"/>
              </w:rPr>
              <w:t xml:space="preserve">DocumentFormat</w:t>
            </w:r>
            <w:r>
              <w:rPr>
                <w:color w:val="1A1A1A"/>
                <w:sz w:val="21"/>
                <w:szCs w:val="21"/>
              </w:rPr>
              <w:t xml:space="preserve"> values are actually accepted — your sample passes </w:t>
            </w:r>
            <w:r>
              <w:rPr>
                <w:rFonts w:ascii="Consolas" w:cs="Consolas" w:eastAsia="Consolas" w:hAnsi="Consolas"/>
                <w:color w:val="C7254E"/>
                <w:sz w:val="19"/>
                <w:szCs w:val="19"/>
              </w:rPr>
              <w:t xml:space="preserve">JSON</w:t>
            </w:r>
            <w:r>
              <w:rPr>
                <w:color w:val="1A1A1A"/>
                <w:sz w:val="21"/>
                <w:szCs w:val="21"/>
              </w:rPr>
              <w:t xml:space="preserve">, which is not in the documented list.</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If an invoice is mandatory, Ampere must generate one before a vehicle has even been allocated to the customer. That is an operational process we would need to build on our side, so we need to know now.</w:t>
            </w:r>
          </w:p>
        </w:tc>
      </w:tr>
      <w:tr>
        <w:tc>
          <w:tcPr>
            <w:tcW w:type="dxa" w:w="3971"/>
            <w:tcMar>
              <w:top w:type="dxa" w:w="110"/>
              <w:left w:type="dxa" w:w="130"/>
              <w:bottom w:type="dxa" w:w="110"/>
              <w:right w:type="dxa" w:w="130"/>
            </w:tcMar>
          </w:tcPr>
          <w:p>
            <w:pPr>
              <w:spacing w:after="0" w:line="276"/>
            </w:pPr>
            <w:r>
              <w:rPr>
                <w:color w:val="1A1A1A"/>
                <w:sz w:val="21"/>
                <w:szCs w:val="21"/>
              </w:rPr>
              <w:t xml:space="preserve">How long after a transaction reaches </w:t>
            </w:r>
            <w:r>
              <w:rPr>
                <w:rFonts w:ascii="Consolas" w:cs="Consolas" w:eastAsia="Consolas" w:hAnsi="Consolas"/>
                <w:color w:val="C7254E"/>
                <w:sz w:val="19"/>
                <w:szCs w:val="19"/>
              </w:rPr>
              <w:t xml:space="preserve">AUTHORIZED</w:t>
            </w:r>
            <w:r>
              <w:rPr>
                <w:color w:val="1A1A1A"/>
                <w:sz w:val="21"/>
                <w:szCs w:val="21"/>
              </w:rPr>
              <w:t xml:space="preserve"> may we call capture? What happens if we miss that window?</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This sets how quickly our systems must react, and determines how urgently our reconciliation job needs to run.</w:t>
            </w:r>
          </w:p>
        </w:tc>
      </w:tr>
      <w:tr>
        <w:tc>
          <w:tcPr>
            <w:tcW w:type="dxa" w:w="3971"/>
            <w:tcMar>
              <w:top w:type="dxa" w:w="110"/>
              <w:left w:type="dxa" w:w="130"/>
              <w:bottom w:type="dxa" w:w="110"/>
              <w:right w:type="dxa" w:w="130"/>
            </w:tcMar>
          </w:tcPr>
          <w:p>
            <w:pPr>
              <w:spacing w:after="0" w:line="276"/>
            </w:pPr>
            <w:r>
              <w:rPr>
                <w:color w:val="1A1A1A"/>
                <w:sz w:val="21"/>
                <w:szCs w:val="21"/>
              </w:rPr>
              <w:t xml:space="preserve">What is the structure of </w:t>
            </w:r>
            <w:r>
              <w:rPr>
                <w:rFonts w:ascii="Consolas" w:cs="Consolas" w:eastAsia="Consolas" w:hAnsi="Consolas"/>
                <w:color w:val="C7254E"/>
                <w:sz w:val="19"/>
                <w:szCs w:val="19"/>
              </w:rPr>
              <w:t xml:space="preserve">fixed_plan_details</w:t>
            </w:r>
            <w:r>
              <w:rPr>
                <w:color w:val="1A1A1A"/>
                <w:sz w:val="21"/>
                <w:szCs w:val="21"/>
              </w:rPr>
              <w:t xml:space="preserve">? It is </w:t>
            </w:r>
            <w:r>
              <w:rPr>
                <w:rFonts w:ascii="Consolas" w:cs="Consolas" w:eastAsia="Consolas" w:hAnsi="Consolas"/>
                <w:color w:val="C7254E"/>
                <w:sz w:val="19"/>
                <w:szCs w:val="19"/>
              </w:rPr>
              <w:t xml:space="preserve">null</w:t>
            </w:r>
            <w:r>
              <w:rPr>
                <w:color w:val="1A1A1A"/>
                <w:sz w:val="21"/>
                <w:szCs w:val="21"/>
              </w:rPr>
              <w:t xml:space="preserve"> in your sample and undocumented.</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If Ampere chooses a fixed booking amount rather than a customer-chosen one, this is the field we would use. We cannot build against it without the structure.</w:t>
            </w:r>
          </w:p>
        </w:tc>
      </w:tr>
      <w:tr>
        <w:tc>
          <w:tcPr>
            <w:tcW w:type="dxa" w:w="3971"/>
            <w:tcMar>
              <w:top w:type="dxa" w:w="110"/>
              <w:left w:type="dxa" w:w="130"/>
              <w:bottom w:type="dxa" w:w="110"/>
              <w:right w:type="dxa" w:w="130"/>
            </w:tcMar>
          </w:tcPr>
          <w:p>
            <w:pPr>
              <w:spacing w:after="0" w:line="276"/>
            </w:pPr>
            <w:r>
              <w:rPr>
                <w:color w:val="1A1A1A"/>
                <w:sz w:val="21"/>
                <w:szCs w:val="21"/>
              </w:rPr>
              <w:t xml:space="preserve">Is the request field </w:t>
            </w:r>
            <w:r>
              <w:rPr>
                <w:rFonts w:ascii="Consolas" w:cs="Consolas" w:eastAsia="Consolas" w:hAnsi="Consolas"/>
                <w:color w:val="C7254E"/>
                <w:sz w:val="19"/>
                <w:szCs w:val="19"/>
              </w:rPr>
              <w:t xml:space="preserve">payment_rule</w:t>
            </w:r>
            <w:r>
              <w:rPr>
                <w:color w:val="1A1A1A"/>
                <w:sz w:val="21"/>
                <w:szCs w:val="21"/>
              </w:rPr>
              <w:t xml:space="preserve"> or </w:t>
            </w:r>
            <w:r>
              <w:rPr>
                <w:rFonts w:ascii="Consolas" w:cs="Consolas" w:eastAsia="Consolas" w:hAnsi="Consolas"/>
                <w:color w:val="C7254E"/>
                <w:sz w:val="19"/>
                <w:szCs w:val="19"/>
              </w:rPr>
              <w:t xml:space="preserve">payment_rules</w:t>
            </w:r>
            <w:r>
              <w:rPr>
                <w:color w:val="1A1A1A"/>
                <w:sz w:val="21"/>
                <w:szCs w:val="21"/>
              </w:rPr>
              <w:t xml:space="preserve">? Your field table says one, your sample payload says the other.</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A wrong key name would be accepted silently and simply disable payment-method filtering — so customers would see payment options we did not intend to offer.</w:t>
            </w:r>
          </w:p>
        </w:tc>
      </w:tr>
      <w:tr>
        <w:tc>
          <w:tcPr>
            <w:tcW w:type="dxa" w:w="3971"/>
            <w:tcMar>
              <w:top w:type="dxa" w:w="110"/>
              <w:left w:type="dxa" w:w="130"/>
              <w:bottom w:type="dxa" w:w="110"/>
              <w:right w:type="dxa" w:w="130"/>
            </w:tcMar>
          </w:tcPr>
          <w:p>
            <w:pPr>
              <w:spacing w:after="0" w:line="276"/>
            </w:pPr>
            <w:r>
              <w:rPr>
                <w:color w:val="1A1A1A"/>
                <w:sz w:val="21"/>
                <w:szCs w:val="21"/>
              </w:rPr>
              <w:t xml:space="preserve">What </w:t>
            </w:r>
            <w:r>
              <w:rPr>
                <w:rFonts w:ascii="Consolas" w:cs="Consolas" w:eastAsia="Consolas" w:hAnsi="Consolas"/>
                <w:color w:val="C7254E"/>
                <w:sz w:val="19"/>
                <w:szCs w:val="19"/>
              </w:rPr>
              <w:t xml:space="preserve">order_expiry</w:t>
            </w:r>
            <w:r>
              <w:rPr>
                <w:color w:val="1A1A1A"/>
                <w:sz w:val="21"/>
                <w:szCs w:val="21"/>
              </w:rPr>
              <w:t xml:space="preserve"> do you recommend for a loan journey that includes VKYC?</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We hold a scooter in stock for a customer while they complete payment. We need to match that hold to how long your journey realistically takes, or we either release stock too early or hold it too long.</w:t>
            </w:r>
          </w:p>
        </w:tc>
      </w:tr>
      <w:tr>
        <w:tc>
          <w:tcPr>
            <w:tcW w:type="dxa" w:w="3971"/>
            <w:tcMar>
              <w:top w:type="dxa" w:w="110"/>
              <w:left w:type="dxa" w:w="130"/>
              <w:bottom w:type="dxa" w:w="110"/>
              <w:right w:type="dxa" w:w="130"/>
            </w:tcMar>
          </w:tcPr>
          <w:p>
            <w:pPr>
              <w:spacing w:after="0" w:line="276"/>
            </w:pPr>
            <w:r>
              <w:rPr>
                <w:color w:val="1A1A1A"/>
                <w:sz w:val="21"/>
                <w:szCs w:val="21"/>
              </w:rPr>
              <w:t xml:space="preserve">Is </w:t>
            </w:r>
            <w:r>
              <w:rPr>
                <w:rFonts w:ascii="Consolas" w:cs="Consolas" w:eastAsia="Consolas" w:hAnsi="Consolas"/>
                <w:color w:val="C7254E"/>
                <w:sz w:val="19"/>
                <w:szCs w:val="19"/>
              </w:rPr>
              <w:t xml:space="preserve">CF_EMI</w:t>
            </w:r>
            <w:r>
              <w:rPr>
                <w:color w:val="1A1A1A"/>
                <w:sz w:val="21"/>
                <w:szCs w:val="21"/>
              </w:rPr>
              <w:t xml:space="preserve"> (card instalments) in scope for Ampere, or is this </w:t>
            </w:r>
            <w:r>
              <w:rPr>
                <w:rFonts w:ascii="Consolas" w:cs="Consolas" w:eastAsia="Consolas" w:hAnsi="Consolas"/>
                <w:color w:val="C7254E"/>
                <w:sz w:val="19"/>
                <w:szCs w:val="19"/>
              </w:rPr>
              <w:t xml:space="preserve">CF_LSP</w:t>
            </w:r>
            <w:r>
              <w:rPr>
                <w:color w:val="1A1A1A"/>
                <w:sz w:val="21"/>
                <w:szCs w:val="21"/>
              </w:rPr>
              <w:t xml:space="preserve"> only?</w:t>
            </w:r>
          </w:p>
        </w:tc>
        <w:tc>
          <w:tcPr>
            <w:tcW w:type="dxa" w:w="5055"/>
            <w:tcMar>
              <w:top w:type="dxa" w:w="110"/>
              <w:left w:type="dxa" w:w="130"/>
              <w:bottom w:type="dxa" w:w="110"/>
              <w:right w:type="dxa" w:w="130"/>
            </w:tcMar>
          </w:tcPr>
          <w:p>
            <w:pPr>
              <w:spacing w:after="0" w:line="276"/>
            </w:pPr>
            <w:r>
              <w:rPr>
                <w:b w:val="false"/>
                <w:bCs w:val="false"/>
                <w:color w:val="1A1A1A"/>
                <w:sz w:val="21"/>
                <w:szCs w:val="21"/>
              </w:rPr>
              <w:t xml:space="preserve">These are two different financing products at materially different interest rates. If both can appear at checkout we must label them distinctly, or a customer who saw a low rate on our product pages will feel misled at payment.</w:t>
            </w:r>
          </w:p>
        </w:tc>
      </w:tr>
    </w:tbl>
    <w:p>
      <w:pPr>
        <w:spacing w:after="14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FF4E5" w:val="clear"/>
            <w:tcMar>
              <w:top w:type="dxa" w:w="150"/>
              <w:left w:type="dxa" w:w="170"/>
              <w:bottom w:type="dxa" w:w="150"/>
              <w:right w:type="dxa" w:w="170"/>
            </w:tcMar>
          </w:tcPr>
          <w:p>
            <w:pPr>
              <w:spacing w:after="80"/>
            </w:pPr>
            <w:r>
              <w:rPr>
                <w:b/>
                <w:bCs/>
                <w:color w:val="1A1A1A"/>
                <w:sz w:val="19"/>
                <w:szCs w:val="19"/>
              </w:rPr>
              <w:t xml:space="preserve">Worth flagging to your team</w:t>
            </w:r>
          </w:p>
          <w:p>
            <w:pPr>
              <w:spacing w:after="70" w:line="288"/>
            </w:pPr>
            <w:r>
              <w:rPr>
                <w:color w:val="1A1A1A"/>
                <w:sz w:val="21"/>
                <w:szCs w:val="21"/>
              </w:rPr>
              <w:t xml:space="preserve">Your document describes an auth-and-capture flow, meaning the money does not move on its own. The customer is approved, then Ampere must send a second instruction to collect.</w:t>
            </w:r>
          </w:p>
          <w:p>
            <w:pPr>
              <w:spacing w:after="70" w:line="288"/>
            </w:pPr>
            <w:r>
              <w:rPr>
                <w:color w:val="1A1A1A"/>
                <w:sz w:val="21"/>
                <w:szCs w:val="21"/>
              </w:rPr>
              <w:t xml:space="preserve">If that second instruction is never sent, the customer believes they have bought a scooter and nobody is paid. We have built this, but questions one and two above must be answered before it can be completed correctly.</w:t>
            </w:r>
          </w:p>
        </w:tc>
      </w:tr>
    </w:tbl>
    <w:p>
      <w:r>
        <w:br w:type="page"/>
      </w:r>
    </w:p>
    <w:p>
      <w:pPr>
        <w:pStyle w:val="Heading1"/>
        <w:spacing w:after="60" w:before="60"/>
      </w:pPr>
      <w:r>
        <w:rPr>
          <w:b/>
          <w:bCs/>
          <w:color w:val="1A1A1A"/>
          <w:sz w:val="30"/>
          <w:szCs w:val="30"/>
        </w:rPr>
        <w:t xml:space="preserve">2. Dealer Operations</w:t>
      </w:r>
    </w:p>
    <w:p>
      <w:pPr>
        <w:spacing w:after="220"/>
      </w:pPr>
      <w:r>
        <w:rPr>
          <w:b/>
          <w:bCs/>
          <w:color w:val="5A5A5A"/>
          <w:sz w:val="19"/>
          <w:szCs w:val="19"/>
        </w:rPr>
        <w:t xml:space="preserve">Send this section to:  </w:t>
      </w:r>
      <w:r>
        <w:rPr>
          <w:color w:val="5A5A5A"/>
          <w:sz w:val="19"/>
          <w:szCs w:val="19"/>
        </w:rPr>
        <w:t xml:space="preserve">Dealer operations / network team</w:t>
      </w:r>
    </w:p>
    <w:p>
      <w:pPr>
        <w:spacing w:after="130" w:line="288"/>
      </w:pPr>
      <w:r>
        <w:rPr>
          <w:color w:val="1A1A1A"/>
          <w:sz w:val="21"/>
          <w:szCs w:val="21"/>
        </w:rPr>
        <w:t xml:space="preserve">The page currently uses eight placeholder dealers and sixteen pincodes. It needs the real network.</w:t>
      </w:r>
    </w:p>
    <w:p>
      <w:pPr>
        <w:pStyle w:val="Heading2"/>
        <w:spacing w:after="130" w:before="320"/>
      </w:pPr>
      <w:r>
        <w:rPr>
          <w:b/>
          <w:bCs/>
          <w:color w:val="1A1A1A"/>
          <w:sz w:val="23"/>
          <w:szCs w:val="23"/>
        </w:rPr>
        <w:t xml:space="preserve">2.1 Dealer master</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A spreadsheet (CSV or Excel), one row per dealer, with these exact columns:</w:t>
      </w:r>
    </w:p>
    <w:p>
      <w:pPr>
        <w:spacing w:after="90"/>
      </w:pPr>
    </w:p>
    <w:tbl>
      <w:tblPr>
        <w:tblW w:type="dxa" w:w="9026"/>
        <w:tblBorders>
          <w:top w:val="single" w:color="D5D7DA" w:sz="2"/>
          <w:left w:val="single" w:color="D5D7DA" w:sz="2"/>
          <w:bottom w:val="single" w:color="D5D7DA" w:sz="2"/>
          <w:right w:val="single" w:color="D5D7DA" w:sz="2"/>
          <w:insideH w:val="single" w:color="D5D7DA" w:sz="2"/>
          <w:insideV w:val="single" w:color="D5D7DA" w:sz="2"/>
        </w:tblBorders>
      </w:tblPr>
      <w:tblGrid>
        <w:gridCol w:w="3069"/>
        <w:gridCol w:w="5957"/>
      </w:tblGrid>
      <w:tr>
        <w:trPr>
          <w:tblHeader/>
        </w:trPr>
        <w:tc>
          <w:tcPr>
            <w:tcW w:type="dxa" w:w="3069"/>
            <w:shd w:fill="EFEFEF" w:val="clear"/>
            <w:tcMar>
              <w:top w:type="dxa" w:w="110"/>
              <w:left w:type="dxa" w:w="130"/>
              <w:bottom w:type="dxa" w:w="110"/>
              <w:right w:type="dxa" w:w="130"/>
            </w:tcMar>
          </w:tcPr>
          <w:p>
            <w:pPr>
              <w:spacing w:after="0" w:line="276"/>
            </w:pPr>
            <w:r>
              <w:rPr>
                <w:b/>
                <w:bCs/>
                <w:color w:val="1A1A1A"/>
                <w:sz w:val="19"/>
                <w:szCs w:val="19"/>
              </w:rPr>
              <w:t xml:space="preserve">Column</w:t>
            </w:r>
          </w:p>
        </w:tc>
        <w:tc>
          <w:tcPr>
            <w:tcW w:type="dxa" w:w="5957"/>
            <w:shd w:fill="EFEFEF" w:val="clear"/>
            <w:tcMar>
              <w:top w:type="dxa" w:w="110"/>
              <w:left w:type="dxa" w:w="130"/>
              <w:bottom w:type="dxa" w:w="110"/>
              <w:right w:type="dxa" w:w="130"/>
            </w:tcMar>
          </w:tcPr>
          <w:p>
            <w:pPr>
              <w:spacing w:after="0" w:line="276"/>
            </w:pPr>
            <w:r>
              <w:rPr>
                <w:b/>
                <w:bCs/>
                <w:color w:val="1A1A1A"/>
                <w:sz w:val="19"/>
                <w:szCs w:val="19"/>
              </w:rPr>
              <w:t xml:space="preserve">Format and notes</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dealer_code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Unique short code, e.g. AMP-MUM-001. This is the key everything else joins on, so it must not change once issued.</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name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As the customer should see it, e.g. "Ampere Andheri West"</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phone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In +91XXXXXXXXXX format. Shown to the customer and used to notify the dealer.</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address</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Full address on one line</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home_serviceable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TRUE or FALSE — whether this dealer offers test rides at the customer’s home</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active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TRUE or FALSE — inactive dealers are skipped automatically, with the customer routed to the next nearest</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lat, lng</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Optional. Decimal degrees. Without these we cannot order dealers by genuine distance.</w:t>
            </w:r>
          </w:p>
        </w:tc>
      </w:tr>
    </w:tbl>
    <w:p>
      <w:pPr>
        <w:spacing w:after="13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dealer name and phone number appear on every confirmation screen, and the dealer is who receives the booking. Everything the customer is told after booking comes from this list.</w:t>
            </w:r>
          </w:p>
          <w:p>
            <w:pPr>
              <w:spacing w:after="70" w:line="288"/>
            </w:pPr>
            <w:r>
              <w:rPr>
                <w:color w:val="1A1A1A"/>
                <w:sz w:val="21"/>
                <w:szCs w:val="21"/>
              </w:rPr>
              <w:t xml:space="preserve">The active flag matters operationally: when a dealer closes, setting it to FALSE automatically routes customers elsewhere rather than sending them to a closed showroom.</w:t>
            </w:r>
          </w:p>
        </w:tc>
      </w:tr>
    </w:tbl>
    <w:p>
      <w:pPr>
        <w:pStyle w:val="Heading2"/>
        <w:spacing w:after="130" w:before="320"/>
      </w:pPr>
      <w:r>
        <w:rPr>
          <w:b/>
          <w:bCs/>
          <w:color w:val="1A1A1A"/>
          <w:sz w:val="23"/>
          <w:szCs w:val="23"/>
        </w:rPr>
        <w:t xml:space="preserve">2.2 Pincode coverage</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A second spreadsheet, one row per pincode served:</w:t>
      </w:r>
    </w:p>
    <w:p>
      <w:pPr>
        <w:spacing w:after="90"/>
      </w:pPr>
    </w:p>
    <w:tbl>
      <w:tblPr>
        <w:tblW w:type="dxa" w:w="9026"/>
        <w:tblBorders>
          <w:top w:val="single" w:color="D5D7DA" w:sz="2"/>
          <w:left w:val="single" w:color="D5D7DA" w:sz="2"/>
          <w:bottom w:val="single" w:color="D5D7DA" w:sz="2"/>
          <w:right w:val="single" w:color="D5D7DA" w:sz="2"/>
          <w:insideH w:val="single" w:color="D5D7DA" w:sz="2"/>
          <w:insideV w:val="single" w:color="D5D7DA" w:sz="2"/>
        </w:tblBorders>
      </w:tblPr>
      <w:tblGrid>
        <w:gridCol w:w="3069"/>
        <w:gridCol w:w="5957"/>
      </w:tblGrid>
      <w:tr>
        <w:trPr>
          <w:tblHeader/>
        </w:trPr>
        <w:tc>
          <w:tcPr>
            <w:tcW w:type="dxa" w:w="3069"/>
            <w:shd w:fill="EFEFEF" w:val="clear"/>
            <w:tcMar>
              <w:top w:type="dxa" w:w="110"/>
              <w:left w:type="dxa" w:w="130"/>
              <w:bottom w:type="dxa" w:w="110"/>
              <w:right w:type="dxa" w:w="130"/>
            </w:tcMar>
          </w:tcPr>
          <w:p>
            <w:pPr>
              <w:spacing w:after="0" w:line="276"/>
            </w:pPr>
            <w:r>
              <w:rPr>
                <w:b/>
                <w:bCs/>
                <w:color w:val="1A1A1A"/>
                <w:sz w:val="19"/>
                <w:szCs w:val="19"/>
              </w:rPr>
              <w:t xml:space="preserve">Column</w:t>
            </w:r>
          </w:p>
        </w:tc>
        <w:tc>
          <w:tcPr>
            <w:tcW w:type="dxa" w:w="5957"/>
            <w:shd w:fill="EFEFEF" w:val="clear"/>
            <w:tcMar>
              <w:top w:type="dxa" w:w="110"/>
              <w:left w:type="dxa" w:w="130"/>
              <w:bottom w:type="dxa" w:w="110"/>
              <w:right w:type="dxa" w:w="130"/>
            </w:tcMar>
          </w:tcPr>
          <w:p>
            <w:pPr>
              <w:spacing w:after="0" w:line="276"/>
            </w:pPr>
            <w:r>
              <w:rPr>
                <w:b/>
                <w:bCs/>
                <w:color w:val="1A1A1A"/>
                <w:sz w:val="19"/>
                <w:szCs w:val="19"/>
              </w:rPr>
              <w:t xml:space="preserve">Format and notes</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pincode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Six digits</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state_code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Two-letter code, e.g. MH, KA, DL</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region_code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The sales region this pincode belongs to (see section 3.1)</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dealer_code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Which dealer covers it — must match a code from 2.1</w:t>
            </w:r>
          </w:p>
        </w:tc>
      </w:tr>
    </w:tbl>
    <w:p>
      <w:pPr>
        <w:spacing w:after="13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pincode is how we find the customer’s dealer, their region, their price and their stock. It is the single most important lookup on the page.</w:t>
            </w:r>
          </w:p>
          <w:p>
            <w:pPr>
              <w:spacing w:after="70" w:line="288"/>
            </w:pPr>
            <w:r>
              <w:rPr>
                <w:color w:val="1A1A1A"/>
                <w:sz w:val="21"/>
                <w:szCs w:val="21"/>
              </w:rPr>
              <w:t xml:space="preserve">Today, any pincode outside our sixteen falls back to guessing the region from the first digit. That usually lands in the right part of the country but attaches an approximate dealer rather than the correct one.</w:t>
            </w:r>
          </w:p>
        </w:tc>
      </w:tr>
    </w:tbl>
    <w:p>
      <w:pPr>
        <w:pStyle w:val="Heading2"/>
        <w:spacing w:after="130" w:before="320"/>
      </w:pPr>
      <w:r>
        <w:rPr>
          <w:b/>
          <w:bCs/>
          <w:color w:val="1A1A1A"/>
          <w:sz w:val="23"/>
          <w:szCs w:val="23"/>
        </w:rPr>
        <w:t xml:space="preserve">2.3 Dealer notification channel</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Confirmation of how a dealer should be told about a new booking. One of:</w:t>
      </w:r>
    </w:p>
    <w:p>
      <w:pPr>
        <w:pStyle w:val="ListParagraph"/>
        <w:numPr>
          <w:ilvl w:val="0"/>
          <w:numId w:val="2"/>
        </w:numPr>
        <w:spacing w:after="80" w:line="288"/>
      </w:pPr>
      <w:r>
        <w:rPr>
          <w:color w:val="1A1A1A"/>
          <w:sz w:val="21"/>
          <w:szCs w:val="21"/>
        </w:rPr>
        <w:t xml:space="preserve">WhatsApp via a Business Service Provider — we would need the provider name, account credentials, and the registered message templates</w:t>
      </w:r>
    </w:p>
    <w:p>
      <w:pPr>
        <w:pStyle w:val="ListParagraph"/>
        <w:numPr>
          <w:ilvl w:val="0"/>
          <w:numId w:val="2"/>
        </w:numPr>
        <w:spacing w:after="80" w:line="288"/>
      </w:pPr>
      <w:r>
        <w:rPr>
          <w:color w:val="1A1A1A"/>
          <w:sz w:val="21"/>
          <w:szCs w:val="21"/>
        </w:rPr>
        <w:t xml:space="preserve">SMS — provider and registered template</w:t>
      </w:r>
    </w:p>
    <w:p>
      <w:pPr>
        <w:pStyle w:val="ListParagraph"/>
        <w:numPr>
          <w:ilvl w:val="0"/>
          <w:numId w:val="2"/>
        </w:numPr>
        <w:spacing w:after="80" w:line="288"/>
      </w:pPr>
      <w:r>
        <w:rPr>
          <w:color w:val="1A1A1A"/>
          <w:sz w:val="21"/>
          <w:szCs w:val="21"/>
        </w:rPr>
        <w:t xml:space="preserve">Direct push into an existing dealer management system — we would need its API documentation and credentials</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booking is written to our database either way, so nothing is lost. But if nobody tells the dealer, the customer waits for a call that never comes.</w:t>
            </w:r>
          </w:p>
          <w:p>
            <w:pPr>
              <w:spacing w:after="70" w:line="288"/>
            </w:pPr>
            <w:r>
              <w:rPr>
                <w:color w:val="1A1A1A"/>
                <w:sz w:val="21"/>
                <w:szCs w:val="21"/>
              </w:rPr>
              <w:t xml:space="preserve">The message content is already written. We only need to know where to send it.</w:t>
            </w:r>
          </w:p>
        </w:tc>
      </w:tr>
    </w:tbl>
    <w:p>
      <w:pPr>
        <w:pStyle w:val="Heading1"/>
        <w:spacing w:after="60" w:before="60"/>
      </w:pPr>
      <w:r>
        <w:rPr>
          <w:b/>
          <w:bCs/>
          <w:color w:val="1A1A1A"/>
          <w:sz w:val="30"/>
          <w:szCs w:val="30"/>
        </w:rPr>
        <w:t xml:space="preserve">3. Sales</w:t>
      </w:r>
    </w:p>
    <w:p>
      <w:pPr>
        <w:spacing w:after="220"/>
      </w:pPr>
      <w:r>
        <w:rPr>
          <w:b/>
          <w:bCs/>
          <w:color w:val="5A5A5A"/>
          <w:sz w:val="19"/>
          <w:szCs w:val="19"/>
        </w:rPr>
        <w:t xml:space="preserve">Send this section to:  </w:t>
      </w:r>
      <w:r>
        <w:rPr>
          <w:color w:val="5A5A5A"/>
          <w:sz w:val="19"/>
          <w:szCs w:val="19"/>
        </w:rPr>
        <w:t xml:space="preserve">Regional sales / planning</w:t>
      </w:r>
    </w:p>
    <w:p>
      <w:pPr>
        <w:pStyle w:val="Heading2"/>
        <w:spacing w:after="130" w:before="320"/>
      </w:pPr>
      <w:r>
        <w:rPr>
          <w:b/>
          <w:bCs/>
          <w:color w:val="1A1A1A"/>
          <w:sz w:val="23"/>
          <w:szCs w:val="23"/>
        </w:rPr>
        <w:t xml:space="preserve">3.1 Region definitions</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A list of sales regions, and which states belong to each. For example:</w:t>
      </w:r>
    </w:p>
    <w:p>
      <w:pPr>
        <w:spacing w:after="90"/>
      </w:pPr>
    </w:p>
    <w:tbl>
      <w:tblPr>
        <w:tblW w:type="dxa" w:w="9026"/>
        <w:tblBorders>
          <w:top w:val="single" w:color="D5D7DA" w:sz="2"/>
          <w:left w:val="single" w:color="D5D7DA" w:sz="2"/>
          <w:bottom w:val="single" w:color="D5D7DA" w:sz="2"/>
          <w:right w:val="single" w:color="D5D7DA" w:sz="2"/>
          <w:insideH w:val="single" w:color="D5D7DA" w:sz="2"/>
          <w:insideV w:val="single" w:color="D5D7DA" w:sz="2"/>
        </w:tblBorders>
      </w:tblPr>
      <w:tblGrid>
        <w:gridCol w:w="3069"/>
        <w:gridCol w:w="5957"/>
      </w:tblGrid>
      <w:tr>
        <w:trPr>
          <w:tblHeader/>
        </w:trPr>
        <w:tc>
          <w:tcPr>
            <w:tcW w:type="dxa" w:w="3069"/>
            <w:shd w:fill="EFEFEF" w:val="clear"/>
            <w:tcMar>
              <w:top w:type="dxa" w:w="110"/>
              <w:left w:type="dxa" w:w="130"/>
              <w:bottom w:type="dxa" w:w="110"/>
              <w:right w:type="dxa" w:w="130"/>
            </w:tcMar>
          </w:tcPr>
          <w:p>
            <w:pPr>
              <w:spacing w:after="0" w:line="276"/>
            </w:pPr>
            <w:r>
              <w:rPr>
                <w:b/>
                <w:bCs/>
                <w:color w:val="1A1A1A"/>
                <w:sz w:val="19"/>
                <w:szCs w:val="19"/>
              </w:rPr>
              <w:t xml:space="preserve">region_code</w:t>
            </w:r>
          </w:p>
        </w:tc>
        <w:tc>
          <w:tcPr>
            <w:tcW w:type="dxa" w:w="5957"/>
            <w:shd w:fill="EFEFEF" w:val="clear"/>
            <w:tcMar>
              <w:top w:type="dxa" w:w="110"/>
              <w:left w:type="dxa" w:w="130"/>
              <w:bottom w:type="dxa" w:w="110"/>
              <w:right w:type="dxa" w:w="130"/>
            </w:tcMar>
          </w:tcPr>
          <w:p>
            <w:pPr>
              <w:spacing w:after="0" w:line="276"/>
            </w:pPr>
            <w:r>
              <w:rPr>
                <w:b/>
                <w:bCs/>
                <w:color w:val="1A1A1A"/>
                <w:sz w:val="19"/>
                <w:szCs w:val="19"/>
              </w:rPr>
              <w:t xml:space="preserve">States included</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west</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MH, GJ, MP, GA, CG</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south</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TN, KA, KL, AP, TS</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and so on for every region</w:t>
            </w:r>
          </w:p>
        </w:tc>
      </w:tr>
    </w:tbl>
    <w:p>
      <w:pPr>
        <w:spacing w:after="13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Stock is counted per scooter, per region. A customer’s pincode gives us their state, and the state tells us their region — which determines what is available to them and at what price.</w:t>
            </w:r>
          </w:p>
          <w:p>
            <w:pPr>
              <w:spacing w:after="70" w:line="288"/>
            </w:pPr>
            <w:r>
              <w:rPr>
                <w:color w:val="1A1A1A"/>
                <w:sz w:val="21"/>
                <w:szCs w:val="21"/>
              </w:rPr>
              <w:t xml:space="preserve">We are currently using four invented regions with a guessed list of states.</w:t>
            </w:r>
          </w:p>
        </w:tc>
      </w:tr>
    </w:tbl>
    <w:p>
      <w:pPr>
        <w:pStyle w:val="Heading2"/>
        <w:spacing w:after="130" w:before="320"/>
      </w:pPr>
      <w:r>
        <w:rPr>
          <w:b/>
          <w:bCs/>
          <w:color w:val="1A1A1A"/>
          <w:sz w:val="23"/>
          <w:szCs w:val="23"/>
        </w:rPr>
        <w:t xml:space="preserve">3.2 Opening stock</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A number for each scooter, in each region — a simple grid, scooters down and regions across.</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This number decides whether a customer can complete a purchase. It is currently set to fifteen of everything.</w:t>
            </w:r>
          </w:p>
          <w:p>
            <w:pPr>
              <w:spacing w:after="70" w:line="288"/>
            </w:pPr>
            <w:r>
              <w:rPr>
                <w:color w:val="1A1A1A"/>
                <w:sz w:val="21"/>
                <w:szCs w:val="21"/>
              </w:rPr>
              <w:t xml:space="preserve">You will not need to send this repeatedly. There is a screen where Sales can update these numbers directly, and every change is recorded with who made it and when.</w:t>
            </w:r>
          </w:p>
        </w:tc>
      </w:tr>
    </w:tbl>
    <w:p>
      <w:r>
        <w:br w:type="page"/>
      </w:r>
    </w:p>
    <w:p>
      <w:pPr>
        <w:pStyle w:val="Heading1"/>
        <w:spacing w:after="60" w:before="60"/>
      </w:pPr>
      <w:r>
        <w:rPr>
          <w:b/>
          <w:bCs/>
          <w:color w:val="1A1A1A"/>
          <w:sz w:val="30"/>
          <w:szCs w:val="30"/>
        </w:rPr>
        <w:t xml:space="preserve">4. Finance</w:t>
      </w:r>
    </w:p>
    <w:p>
      <w:pPr>
        <w:spacing w:after="220"/>
      </w:pPr>
      <w:r>
        <w:rPr>
          <w:b/>
          <w:bCs/>
          <w:color w:val="5A5A5A"/>
          <w:sz w:val="19"/>
          <w:szCs w:val="19"/>
        </w:rPr>
        <w:t xml:space="preserve">Send this section to:  </w:t>
      </w:r>
      <w:r>
        <w:rPr>
          <w:color w:val="5A5A5A"/>
          <w:sz w:val="19"/>
          <w:szCs w:val="19"/>
        </w:rPr>
        <w:t xml:space="preserve">Finance / pricing</w:t>
      </w:r>
    </w:p>
    <w:p>
      <w:pPr>
        <w:pStyle w:val="Heading2"/>
        <w:spacing w:after="130" w:before="320"/>
      </w:pPr>
      <w:r>
        <w:rPr>
          <w:b/>
          <w:bCs/>
          <w:color w:val="1A1A1A"/>
          <w:sz w:val="23"/>
          <w:szCs w:val="23"/>
        </w:rPr>
        <w:t xml:space="preserve">4.1 Prices</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For each scooter, in each region, two separate figures:</w:t>
      </w:r>
    </w:p>
    <w:p>
      <w:pPr>
        <w:pStyle w:val="ListParagraph"/>
        <w:numPr>
          <w:ilvl w:val="0"/>
          <w:numId w:val="2"/>
        </w:numPr>
        <w:spacing w:after="80" w:line="288"/>
      </w:pPr>
      <w:r>
        <w:rPr>
          <w:color w:val="1A1A1A"/>
          <w:sz w:val="21"/>
          <w:szCs w:val="21"/>
        </w:rPr>
        <w:t xml:space="preserve">Ex-showroom price</w:t>
      </w:r>
    </w:p>
    <w:p>
      <w:pPr>
        <w:pStyle w:val="ListParagraph"/>
        <w:numPr>
          <w:ilvl w:val="0"/>
          <w:numId w:val="2"/>
        </w:numPr>
        <w:spacing w:after="80" w:line="288"/>
      </w:pPr>
      <w:r>
        <w:rPr>
          <w:color w:val="1A1A1A"/>
          <w:sz w:val="21"/>
          <w:szCs w:val="21"/>
        </w:rPr>
        <w:t xml:space="preserve">Registration and road tax (RTO)</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We show the customer an itemised price: ex-showroom, plus registration, equals the on-road price they pay. Juspay also requires both figures separately in the order we send them.</w:t>
            </w:r>
          </w:p>
          <w:p>
            <w:pPr>
              <w:spacing w:after="70" w:line="288"/>
            </w:pPr>
            <w:r>
              <w:rPr>
                <w:color w:val="1A1A1A"/>
                <w:sz w:val="21"/>
                <w:szCs w:val="21"/>
              </w:rPr>
              <w:t xml:space="preserve">We currently take ex-showroom prices from the Ampere website, which should be close to correct.</w:t>
            </w:r>
          </w:p>
        </w:tc>
      </w:tr>
    </w:tbl>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FF4E5" w:val="clear"/>
            <w:tcMar>
              <w:top w:type="dxa" w:w="150"/>
              <w:left w:type="dxa" w:w="170"/>
              <w:bottom w:type="dxa" w:w="150"/>
              <w:right w:type="dxa" w:w="170"/>
            </w:tcMar>
          </w:tcPr>
          <w:p>
            <w:pPr>
              <w:spacing w:after="80"/>
            </w:pPr>
            <w:r>
              <w:rPr>
                <w:b/>
                <w:bCs/>
                <w:color w:val="1A1A1A"/>
                <w:sz w:val="19"/>
                <w:szCs w:val="19"/>
              </w:rPr>
              <w:t xml:space="preserve">Please read this</w:t>
            </w:r>
          </w:p>
          <w:p>
            <w:pPr>
              <w:spacing w:after="70" w:line="288"/>
            </w:pPr>
            <w:r>
              <w:rPr>
                <w:color w:val="1A1A1A"/>
                <w:sz w:val="21"/>
                <w:szCs w:val="21"/>
              </w:rPr>
              <w:t xml:space="preserve">Registration and road tax is currently calculated as a flat ten percent of the ex-showroom price. That figure is invented and is almost certainly wrong, yet it is shown to every customer as part of the total they will pay.</w:t>
            </w:r>
          </w:p>
          <w:p>
            <w:pPr>
              <w:spacing w:after="70" w:line="288"/>
            </w:pPr>
            <w:r>
              <w:rPr>
                <w:color w:val="1A1A1A"/>
                <w:sz w:val="21"/>
                <w:szCs w:val="21"/>
              </w:rPr>
              <w:t xml:space="preserve">Please also confirm: registration cost varies by state rather than by region. If you would rather supply a figure per state, tell us and we will change how it is stored.</w:t>
            </w:r>
          </w:p>
        </w:tc>
      </w:tr>
    </w:tbl>
    <w:p>
      <w:pPr>
        <w:pStyle w:val="Heading2"/>
        <w:spacing w:after="130" w:before="320"/>
      </w:pPr>
      <w:r>
        <w:rPr>
          <w:b/>
          <w:bCs/>
          <w:color w:val="1A1A1A"/>
          <w:sz w:val="23"/>
          <w:szCs w:val="23"/>
        </w:rPr>
        <w:t xml:space="preserve">4.2 EMI interest rates</w:t>
      </w:r>
    </w:p>
    <w:p>
      <w:pPr>
        <w:spacing w:after="90" w:before="60"/>
      </w:pPr>
      <w:r>
        <w:rPr>
          <w:b/>
          <w:bCs/>
          <w:color w:val="1F5FBF"/>
          <w:spacing w:val="20"/>
          <w:sz w:val="19"/>
          <w:szCs w:val="19"/>
        </w:rPr>
        <w:t xml:space="preserve">WHAT WE NEED</w:t>
      </w:r>
    </w:p>
    <w:p>
      <w:pPr>
        <w:spacing w:after="60"/>
      </w:pPr>
    </w:p>
    <w:tbl>
      <w:tblPr>
        <w:tblW w:type="dxa" w:w="9026"/>
        <w:tblBorders>
          <w:top w:val="single" w:color="D5D7DA" w:sz="2"/>
          <w:left w:val="single" w:color="D5D7DA" w:sz="2"/>
          <w:bottom w:val="single" w:color="D5D7DA" w:sz="2"/>
          <w:right w:val="single" w:color="D5D7DA" w:sz="2"/>
          <w:insideH w:val="single" w:color="D5D7DA" w:sz="2"/>
          <w:insideV w:val="single" w:color="D5D7DA" w:sz="2"/>
        </w:tblBorders>
      </w:tblPr>
      <w:tblGrid>
        <w:gridCol w:w="3069"/>
        <w:gridCol w:w="5957"/>
      </w:tblGrid>
      <w:tr>
        <w:trPr>
          <w:tblHeader/>
        </w:trPr>
        <w:tc>
          <w:tcPr>
            <w:tcW w:type="dxa" w:w="3069"/>
            <w:shd w:fill="EFEFEF" w:val="clear"/>
            <w:tcMar>
              <w:top w:type="dxa" w:w="110"/>
              <w:left w:type="dxa" w:w="130"/>
              <w:bottom w:type="dxa" w:w="110"/>
              <w:right w:type="dxa" w:w="130"/>
            </w:tcMar>
          </w:tcPr>
          <w:p>
            <w:pPr>
              <w:spacing w:after="0" w:line="276"/>
            </w:pPr>
            <w:r>
              <w:rPr>
                <w:b/>
                <w:bCs/>
                <w:color w:val="1A1A1A"/>
                <w:sz w:val="19"/>
                <w:szCs w:val="19"/>
              </w:rPr>
              <w:t xml:space="preserve">Tenure</w:t>
            </w:r>
          </w:p>
        </w:tc>
        <w:tc>
          <w:tcPr>
            <w:tcW w:type="dxa" w:w="5957"/>
            <w:shd w:fill="EFEFEF" w:val="clear"/>
            <w:tcMar>
              <w:top w:type="dxa" w:w="110"/>
              <w:left w:type="dxa" w:w="130"/>
              <w:bottom w:type="dxa" w:w="110"/>
              <w:right w:type="dxa" w:w="130"/>
            </w:tcMar>
          </w:tcPr>
          <w:p>
            <w:pPr>
              <w:spacing w:after="0" w:line="276"/>
            </w:pPr>
            <w:r>
              <w:rPr>
                <w:b/>
                <w:bCs/>
                <w:color w:val="1A1A1A"/>
                <w:sz w:val="19"/>
                <w:szCs w:val="19"/>
              </w:rPr>
              <w:t xml:space="preserve">What we need</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12 months</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Annual interest rate (%)</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18 months</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Annual interest rate (%)</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24 months</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Annual interest rate (%)</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36 months</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Annual interest rate (%)</w:t>
            </w:r>
          </w:p>
        </w:tc>
      </w:tr>
      <w:tr>
        <w:tc>
          <w:tcPr>
            <w:tcW w:type="dxa" w:w="3069"/>
            <w:tcMar>
              <w:top w:type="dxa" w:w="110"/>
              <w:left w:type="dxa" w:w="130"/>
              <w:bottom w:type="dxa" w:w="110"/>
              <w:right w:type="dxa" w:w="130"/>
            </w:tcMar>
          </w:tcPr>
          <w:p>
            <w:pPr>
              <w:spacing w:after="0" w:line="276"/>
            </w:pPr>
            <w:r>
              <w:rPr>
                <w:b w:val="false"/>
                <w:bCs w:val="false"/>
                <w:color w:val="1A1A1A"/>
                <w:sz w:val="21"/>
                <w:szCs w:val="21"/>
              </w:rPr>
              <w:t xml:space="preserve">Any tenure</w:t>
            </w:r>
          </w:p>
        </w:tc>
        <w:tc>
          <w:tcPr>
            <w:tcW w:type="dxa" w:w="5957"/>
            <w:tcMar>
              <w:top w:type="dxa" w:w="110"/>
              <w:left w:type="dxa" w:w="130"/>
              <w:bottom w:type="dxa" w:w="110"/>
              <w:right w:type="dxa" w:w="130"/>
            </w:tcMar>
          </w:tcPr>
          <w:p>
            <w:pPr>
              <w:spacing w:after="0" w:line="276"/>
            </w:pPr>
            <w:r>
              <w:rPr>
                <w:b w:val="false"/>
                <w:bCs w:val="false"/>
                <w:color w:val="1A1A1A"/>
                <w:sz w:val="21"/>
                <w:szCs w:val="21"/>
              </w:rPr>
              <w:t xml:space="preserve">Processing or arrangement fee, if any</w:t>
            </w:r>
          </w:p>
        </w:tc>
      </w:tr>
    </w:tbl>
    <w:p>
      <w:pPr>
        <w:spacing w:after="13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page shows a customer what their monthly instalment would be, and the total they would pay over the term. We cannot calculate either without the rates.</w:t>
            </w:r>
          </w:p>
          <w:p>
            <w:pPr>
              <w:spacing w:after="70" w:line="288"/>
            </w:pPr>
            <w:r>
              <w:rPr>
                <w:color w:val="1A1A1A"/>
                <w:sz w:val="21"/>
                <w:szCs w:val="21"/>
              </w:rPr>
              <w:t xml:space="preserve">This is a guide only — Juspay confirms the actual rate and eligibility at checkout, and every figure we show is labelled as indicative.</w:t>
            </w:r>
          </w:p>
        </w:tc>
      </w:tr>
    </w:tbl>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FF4E5" w:val="clear"/>
            <w:tcMar>
              <w:top w:type="dxa" w:w="150"/>
              <w:left w:type="dxa" w:w="170"/>
              <w:bottom w:type="dxa" w:w="150"/>
              <w:right w:type="dxa" w:w="170"/>
            </w:tcMar>
          </w:tcPr>
          <w:p>
            <w:pPr>
              <w:spacing w:after="80"/>
            </w:pPr>
            <w:r>
              <w:rPr>
                <w:b/>
                <w:bCs/>
                <w:color w:val="1A1A1A"/>
                <w:sz w:val="19"/>
                <w:szCs w:val="19"/>
              </w:rPr>
              <w:t xml:space="preserve">Please read this</w:t>
            </w:r>
          </w:p>
          <w:p>
            <w:pPr>
              <w:spacing w:after="70" w:line="288"/>
            </w:pPr>
            <w:r>
              <w:rPr>
                <w:color w:val="1A1A1A"/>
                <w:sz w:val="21"/>
                <w:szCs w:val="21"/>
              </w:rPr>
              <w:t xml:space="preserve">We are currently using invented rates of roughly 13.5 to 15.5 percent. Every monthly instalment a customer sees today is therefore wrong.</w:t>
            </w:r>
          </w:p>
        </w:tc>
      </w:tr>
    </w:tbl>
    <w:p>
      <w:pPr>
        <w:pStyle w:val="Heading1"/>
        <w:spacing w:after="60" w:before="60"/>
      </w:pPr>
      <w:r>
        <w:rPr>
          <w:b/>
          <w:bCs/>
          <w:color w:val="1A1A1A"/>
          <w:sz w:val="30"/>
          <w:szCs w:val="30"/>
        </w:rPr>
        <w:t xml:space="preserve">5. Decisions Ampere needs to make</w:t>
      </w:r>
    </w:p>
    <w:p>
      <w:pPr>
        <w:spacing w:after="220"/>
      </w:pPr>
      <w:r>
        <w:rPr>
          <w:b/>
          <w:bCs/>
          <w:color w:val="5A5A5A"/>
          <w:sz w:val="19"/>
          <w:szCs w:val="19"/>
        </w:rPr>
        <w:t xml:space="preserve">Send this section to:  </w:t>
      </w:r>
      <w:r>
        <w:rPr>
          <w:color w:val="5A5A5A"/>
          <w:sz w:val="19"/>
          <w:szCs w:val="19"/>
        </w:rPr>
        <w:t xml:space="preserve">Ampere product / commercial</w:t>
      </w:r>
    </w:p>
    <w:p>
      <w:pPr>
        <w:pStyle w:val="Heading2"/>
        <w:spacing w:after="130" w:before="320"/>
      </w:pPr>
      <w:r>
        <w:rPr>
          <w:b/>
          <w:bCs/>
          <w:color w:val="1A1A1A"/>
          <w:sz w:val="23"/>
          <w:szCs w:val="23"/>
        </w:rPr>
        <w:t xml:space="preserve">5.1 The booking amount</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Either a flat amount in rupees, applied to every scooter</w:t>
      </w:r>
    </w:p>
    <w:p>
      <w:pPr>
        <w:pStyle w:val="ListParagraph"/>
        <w:numPr>
          <w:ilvl w:val="0"/>
          <w:numId w:val="2"/>
        </w:numPr>
        <w:spacing w:after="80" w:line="288"/>
      </w:pPr>
      <w:r>
        <w:rPr>
          <w:color w:val="1A1A1A"/>
          <w:sz w:val="21"/>
          <w:szCs w:val="21"/>
        </w:rPr>
        <w:t xml:space="preserve">Or a percentage of the price</w:t>
      </w:r>
    </w:p>
    <w:p>
      <w:pPr>
        <w:pStyle w:val="ListParagraph"/>
        <w:numPr>
          <w:ilvl w:val="0"/>
          <w:numId w:val="2"/>
        </w:numPr>
        <w:spacing w:after="80" w:line="288"/>
      </w:pPr>
      <w:r>
        <w:rPr>
          <w:color w:val="1A1A1A"/>
          <w:sz w:val="21"/>
          <w:szCs w:val="21"/>
        </w:rPr>
        <w:t xml:space="preserve">And the number itself</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A customer can pay a small amount now to reserve a scooter, and settle the balance at the dealership. This is the amount.</w:t>
            </w:r>
          </w:p>
          <w:p>
            <w:pPr>
              <w:spacing w:after="70" w:line="288"/>
            </w:pPr>
            <w:r>
              <w:rPr>
                <w:color w:val="1A1A1A"/>
                <w:sz w:val="21"/>
                <w:szCs w:val="21"/>
              </w:rPr>
              <w:t xml:space="preserve">Both mechanisms are already built. When you decide, it is a number typed into a screen — no development work and no deployment.</w:t>
            </w:r>
          </w:p>
          <w:p>
            <w:pPr>
              <w:spacing w:after="70" w:line="288"/>
            </w:pPr>
            <w:r>
              <w:rPr>
                <w:color w:val="1A1A1A"/>
                <w:sz w:val="21"/>
                <w:szCs w:val="21"/>
              </w:rPr>
              <w:t xml:space="preserve">A flat amount is simpler to communicate and simpler to refund. A percentage protects margin on the Nexus EX+ but may confuse a Reo VYB buyer. We have temporarily set ₹5,000 so the page functions.</w:t>
            </w:r>
          </w:p>
        </w:tc>
      </w:tr>
    </w:tbl>
    <w:p>
      <w:pPr>
        <w:pStyle w:val="Heading2"/>
        <w:spacing w:after="130" w:before="320"/>
      </w:pPr>
      <w:r>
        <w:rPr>
          <w:b/>
          <w:bCs/>
          <w:color w:val="1A1A1A"/>
          <w:sz w:val="23"/>
          <w:szCs w:val="23"/>
        </w:rPr>
        <w:t xml:space="preserve">5.2 Optional add-ons</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What they are, what each costs, and which scooters they apply to</w:t>
      </w:r>
    </w:p>
    <w:p>
      <w:pPr>
        <w:pStyle w:val="ListParagraph"/>
        <w:numPr>
          <w:ilvl w:val="0"/>
          <w:numId w:val="2"/>
        </w:numPr>
        <w:spacing w:after="80" w:line="288"/>
      </w:pPr>
      <w:r>
        <w:rPr>
          <w:color w:val="1A1A1A"/>
          <w:sz w:val="21"/>
          <w:szCs w:val="21"/>
        </w:rPr>
        <w:t xml:space="preserve">Or confirmation that there are none for now</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journey has a place for these. We have not built the section because we cannot guess what shape the data takes. "None for now" is a complete answer and takes it off the list.</w:t>
            </w:r>
          </w:p>
        </w:tc>
      </w:tr>
    </w:tbl>
    <w:p>
      <w:pPr>
        <w:pStyle w:val="Heading2"/>
        <w:spacing w:after="130" w:before="320"/>
      </w:pPr>
      <w:r>
        <w:rPr>
          <w:b/>
          <w:bCs/>
          <w:color w:val="1A1A1A"/>
          <w:sz w:val="23"/>
          <w:szCs w:val="23"/>
        </w:rPr>
        <w:t xml:space="preserve">5.3 Document checklist</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The list of documents a customer should bring to the dealership</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Your journey document specifies a document checklist on the confirmation screen. We need the content.</w:t>
            </w:r>
          </w:p>
        </w:tc>
      </w:tr>
    </w:tbl>
    <w:p>
      <w:pPr>
        <w:pStyle w:val="Heading2"/>
        <w:spacing w:after="130" w:before="320"/>
      </w:pPr>
      <w:r>
        <w:rPr>
          <w:b/>
          <w:bCs/>
          <w:color w:val="1A1A1A"/>
          <w:sz w:val="23"/>
          <w:szCs w:val="23"/>
        </w:rPr>
        <w:t xml:space="preserve">5.4 Delivery wording</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A choice between:</w:t>
      </w:r>
    </w:p>
    <w:p>
      <w:pPr>
        <w:pStyle w:val="ListParagraph"/>
        <w:numPr>
          <w:ilvl w:val="0"/>
          <w:numId w:val="2"/>
        </w:numPr>
        <w:spacing w:after="80" w:line="288"/>
      </w:pPr>
      <w:r>
        <w:rPr>
          <w:color w:val="1A1A1A"/>
          <w:sz w:val="21"/>
          <w:szCs w:val="21"/>
        </w:rPr>
        <w:t xml:space="preserve">"Your dealer will confirm your delivery timeline" — commits to nothing specific</w:t>
      </w:r>
    </w:p>
    <w:p>
      <w:pPr>
        <w:pStyle w:val="ListParagraph"/>
        <w:numPr>
          <w:ilvl w:val="0"/>
          <w:numId w:val="2"/>
        </w:numPr>
        <w:spacing w:after="80" w:line="288"/>
      </w:pPr>
      <w:r>
        <w:rPr>
          <w:color w:val="1A1A1A"/>
          <w:sz w:val="21"/>
          <w:szCs w:val="21"/>
        </w:rPr>
        <w:t xml:space="preserve">"Your dealer will call you within 24 hours" — clearer for the customer, but dealers must agree to it</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This appears on the dealer card and on the confirmation screen. Phase one deliberately promises no delivery date, because no one in the system can yet keep one. The wording still has to say something.</w:t>
            </w:r>
          </w:p>
        </w:tc>
      </w:tr>
    </w:tbl>
    <w:p>
      <w:pPr>
        <w:pStyle w:val="Heading2"/>
        <w:spacing w:after="130" w:before="320"/>
      </w:pPr>
      <w:r>
        <w:rPr>
          <w:b/>
          <w:bCs/>
          <w:color w:val="1A1A1A"/>
          <w:sz w:val="23"/>
          <w:szCs w:val="23"/>
        </w:rPr>
        <w:t xml:space="preserve">5.5 The "schedule a call" field</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Whether you want it, and if so, who makes the call and within what timeframe</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This box appears in the Figma design but not in the agreed journey, so we have not built it. It needs a decision either way.</w:t>
            </w:r>
          </w:p>
        </w:tc>
      </w:tr>
    </w:tbl>
    <w:p>
      <w:pPr>
        <w:pStyle w:val="Heading2"/>
        <w:spacing w:after="130" w:before="320"/>
      </w:pPr>
      <w:r>
        <w:rPr>
          <w:b/>
          <w:bCs/>
          <w:color w:val="1A1A1A"/>
          <w:sz w:val="23"/>
          <w:szCs w:val="23"/>
        </w:rPr>
        <w:t xml:space="preserve">5.6 Confirm the scooter line-up</w:t>
      </w:r>
    </w:p>
    <w:p>
      <w:pPr>
        <w:spacing w:after="90" w:before="60"/>
      </w:pPr>
      <w:r>
        <w:rPr>
          <w:b/>
          <w:bCs/>
          <w:color w:val="1F5FBF"/>
          <w:spacing w:val="20"/>
          <w:sz w:val="19"/>
          <w:szCs w:val="19"/>
        </w:rPr>
        <w:t xml:space="preserve">WHAT WE NEED</w:t>
      </w:r>
    </w:p>
    <w:p>
      <w:pPr>
        <w:spacing w:after="130" w:line="288"/>
      </w:pPr>
      <w:r>
        <w:rPr>
          <w:color w:val="1A1A1A"/>
          <w:sz w:val="21"/>
          <w:szCs w:val="21"/>
        </w:rPr>
        <w:t xml:space="preserve">Confirmation that these five are correct and complete:</w:t>
      </w:r>
    </w:p>
    <w:p>
      <w:pPr>
        <w:pStyle w:val="ListParagraph"/>
        <w:numPr>
          <w:ilvl w:val="0"/>
          <w:numId w:val="2"/>
        </w:numPr>
        <w:spacing w:after="80" w:line="288"/>
      </w:pPr>
      <w:r>
        <w:rPr>
          <w:color w:val="1A1A1A"/>
          <w:sz w:val="21"/>
          <w:szCs w:val="21"/>
        </w:rPr>
        <w:t xml:space="preserve">Nexus EX+</w:t>
      </w:r>
    </w:p>
    <w:p>
      <w:pPr>
        <w:pStyle w:val="ListParagraph"/>
        <w:numPr>
          <w:ilvl w:val="0"/>
          <w:numId w:val="2"/>
        </w:numPr>
        <w:spacing w:after="80" w:line="288"/>
      </w:pPr>
      <w:r>
        <w:rPr>
          <w:color w:val="1A1A1A"/>
          <w:sz w:val="21"/>
          <w:szCs w:val="21"/>
        </w:rPr>
        <w:t xml:space="preserve">New Magnus GMax</w:t>
      </w:r>
    </w:p>
    <w:p>
      <w:pPr>
        <w:pStyle w:val="ListParagraph"/>
        <w:numPr>
          <w:ilvl w:val="0"/>
          <w:numId w:val="2"/>
        </w:numPr>
        <w:spacing w:after="80" w:line="288"/>
      </w:pPr>
      <w:r>
        <w:rPr>
          <w:color w:val="1A1A1A"/>
          <w:sz w:val="21"/>
          <w:szCs w:val="21"/>
        </w:rPr>
        <w:t xml:space="preserve">Magnus GMax</w:t>
      </w:r>
    </w:p>
    <w:p>
      <w:pPr>
        <w:pStyle w:val="ListParagraph"/>
        <w:numPr>
          <w:ilvl w:val="0"/>
          <w:numId w:val="2"/>
        </w:numPr>
        <w:spacing w:after="80" w:line="288"/>
      </w:pPr>
      <w:r>
        <w:rPr>
          <w:color w:val="1A1A1A"/>
          <w:sz w:val="21"/>
          <w:szCs w:val="21"/>
        </w:rPr>
        <w:t xml:space="preserve">Magnus Neo</w:t>
      </w:r>
    </w:p>
    <w:p>
      <w:pPr>
        <w:pStyle w:val="ListParagraph"/>
        <w:numPr>
          <w:ilvl w:val="0"/>
          <w:numId w:val="2"/>
        </w:numPr>
        <w:spacing w:after="80" w:line="288"/>
      </w:pPr>
      <w:r>
        <w:rPr>
          <w:color w:val="1A1A1A"/>
          <w:sz w:val="21"/>
          <w:szCs w:val="21"/>
        </w:rPr>
        <w:t xml:space="preserve">Reo VYB</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We have taken these from the journey document and cross-checked prices, colours and specifications against the Ampere website. One confirmation closes it.</w:t>
            </w:r>
          </w:p>
        </w:tc>
      </w:tr>
    </w:tbl>
    <w:p>
      <w:pPr>
        <w:pStyle w:val="Heading2"/>
        <w:spacing w:after="130" w:before="320"/>
      </w:pPr>
      <w:r>
        <w:rPr>
          <w:b/>
          <w:bCs/>
          <w:color w:val="1A1A1A"/>
          <w:sz w:val="23"/>
          <w:szCs w:val="23"/>
        </w:rPr>
        <w:t xml:space="preserve">5.7 Missing product photography</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Photographs of New Magnus GMax — one per colour where possible</w:t>
      </w:r>
    </w:p>
    <w:p>
      <w:pPr>
        <w:pStyle w:val="ListParagraph"/>
        <w:numPr>
          <w:ilvl w:val="0"/>
          <w:numId w:val="2"/>
        </w:numPr>
        <w:spacing w:after="80" w:line="288"/>
      </w:pPr>
      <w:r>
        <w:rPr>
          <w:color w:val="1A1A1A"/>
          <w:sz w:val="21"/>
          <w:szCs w:val="21"/>
        </w:rPr>
        <w:t xml:space="preserve">PNG or WebP with a transparent background, around 1100 pixels wide</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We have photographs for four of the five scooters. New Magnus GMax currently shows a grey placeholder outline where the scooter should be.</w:t>
            </w:r>
          </w:p>
        </w:tc>
      </w:tr>
    </w:tbl>
    <w:p>
      <w:r>
        <w:br w:type="page"/>
      </w:r>
    </w:p>
    <w:p>
      <w:pPr>
        <w:pStyle w:val="Heading1"/>
        <w:spacing w:after="60" w:before="60"/>
      </w:pPr>
      <w:r>
        <w:rPr>
          <w:b/>
          <w:bCs/>
          <w:color w:val="1A1A1A"/>
          <w:sz w:val="30"/>
          <w:szCs w:val="30"/>
        </w:rPr>
        <w:t xml:space="preserve">6. Legal</w:t>
      </w:r>
    </w:p>
    <w:p>
      <w:pPr>
        <w:spacing w:after="220"/>
      </w:pPr>
      <w:r>
        <w:rPr>
          <w:b/>
          <w:bCs/>
          <w:color w:val="5A5A5A"/>
          <w:sz w:val="19"/>
          <w:szCs w:val="19"/>
        </w:rPr>
        <w:t xml:space="preserve">Send this section to:  </w:t>
      </w:r>
      <w:r>
        <w:rPr>
          <w:color w:val="5A5A5A"/>
          <w:sz w:val="19"/>
          <w:szCs w:val="19"/>
        </w:rPr>
        <w:t xml:space="preserve">Legal / compliance</w:t>
      </w:r>
    </w:p>
    <w:p>
      <w:pPr>
        <w:pStyle w:val="Heading2"/>
        <w:spacing w:after="130" w:before="320"/>
      </w:pPr>
      <w:r>
        <w:rPr>
          <w:b/>
          <w:bCs/>
          <w:color w:val="1A1A1A"/>
          <w:sz w:val="23"/>
          <w:szCs w:val="23"/>
        </w:rPr>
        <w:t xml:space="preserve">6.1 Cancellation policy wording</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The cancellation and refund policy text, as it should appear to a customer</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This must be shown on screen before the customer pays, not afterwards. The space is built into the page; only the words are missing.</w:t>
            </w:r>
          </w:p>
        </w:tc>
      </w:tr>
    </w:tbl>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FF4E5" w:val="clear"/>
            <w:tcMar>
              <w:top w:type="dxa" w:w="150"/>
              <w:left w:type="dxa" w:w="170"/>
              <w:bottom w:type="dxa" w:w="150"/>
              <w:right w:type="dxa" w:w="170"/>
            </w:tcMar>
          </w:tcPr>
          <w:p>
            <w:pPr>
              <w:spacing w:after="80"/>
            </w:pPr>
            <w:r>
              <w:rPr>
                <w:b/>
                <w:bCs/>
                <w:color w:val="1A1A1A"/>
                <w:sz w:val="19"/>
                <w:szCs w:val="19"/>
              </w:rPr>
              <w:t xml:space="preserve">Blocking</w:t>
            </w:r>
          </w:p>
          <w:p>
            <w:pPr>
              <w:spacing w:after="70" w:line="288"/>
            </w:pPr>
            <w:r>
              <w:rPr>
                <w:color w:val="1A1A1A"/>
                <w:sz w:val="21"/>
                <w:szCs w:val="21"/>
              </w:rPr>
              <w:t xml:space="preserve">We cannot take payments from customers without showing them the cancellation terms first.</w:t>
            </w:r>
          </w:p>
        </w:tc>
      </w:tr>
    </w:tbl>
    <w:p>
      <w:pPr>
        <w:pStyle w:val="Heading2"/>
        <w:spacing w:after="130" w:before="320"/>
      </w:pPr>
      <w:r>
        <w:rPr>
          <w:b/>
          <w:bCs/>
          <w:color w:val="1A1A1A"/>
          <w:sz w:val="23"/>
          <w:szCs w:val="23"/>
        </w:rPr>
        <w:t xml:space="preserve">6.2 Privacy notice and version number</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The consent wording shown beside the two tick boxes</w:t>
      </w:r>
    </w:p>
    <w:p>
      <w:pPr>
        <w:pStyle w:val="ListParagraph"/>
        <w:numPr>
          <w:ilvl w:val="0"/>
          <w:numId w:val="2"/>
        </w:numPr>
        <w:spacing w:after="80" w:line="288"/>
      </w:pPr>
      <w:r>
        <w:rPr>
          <w:color w:val="1A1A1A"/>
          <w:sz w:val="21"/>
          <w:szCs w:val="21"/>
        </w:rPr>
        <w:t xml:space="preserve">A version identifier for that wording, e.g. "v1" or "2026-01"</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page captures two separate consents: permission to contact the customer about their enquiry, and permission to send them marketing. Each is recorded individually with the time, the customer’s IP address, and the version of the notice they agreed to.</w:t>
            </w:r>
          </w:p>
          <w:p>
            <w:pPr>
              <w:spacing w:after="70" w:line="288"/>
            </w:pPr>
            <w:r>
              <w:rPr>
                <w:color w:val="1A1A1A"/>
                <w:sz w:val="21"/>
                <w:szCs w:val="21"/>
              </w:rPr>
              <w:t xml:space="preserve">The version number is what lets us prove, later, exactly what a particular customer agreed to on a particular day. Under the DPDP Act that distinction matters.</w:t>
            </w:r>
          </w:p>
        </w:tc>
      </w:tr>
    </w:tbl>
    <w:p>
      <w:pPr>
        <w:pStyle w:val="Heading2"/>
        <w:spacing w:after="130" w:before="320"/>
      </w:pPr>
      <w:r>
        <w:rPr>
          <w:b/>
          <w:bCs/>
          <w:color w:val="1A1A1A"/>
          <w:sz w:val="23"/>
          <w:szCs w:val="23"/>
        </w:rPr>
        <w:t xml:space="preserve">6.3 Data retention period</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How long we may keep details of customers who never purchase, before deletion or anonymisation</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The page deliberately saves a customer’s details as soon as they enter them, before they confirm their phone number, so that an abandoned enquiry is still a lead a dealer can call.</w:t>
            </w:r>
          </w:p>
          <w:p>
            <w:pPr>
              <w:spacing w:after="70" w:line="288"/>
            </w:pPr>
            <w:r>
              <w:rPr>
                <w:color w:val="1A1A1A"/>
                <w:sz w:val="21"/>
                <w:szCs w:val="21"/>
              </w:rPr>
              <w:t xml:space="preserve">That means we accumulate records for people who never buy. We need a defined period after which those are removed.</w:t>
            </w:r>
          </w:p>
        </w:tc>
      </w:tr>
    </w:tbl>
    <w:p>
      <w:pPr>
        <w:pStyle w:val="Heading2"/>
        <w:spacing w:after="130" w:before="320"/>
      </w:pPr>
      <w:r>
        <w:rPr>
          <w:b/>
          <w:bCs/>
          <w:color w:val="1A1A1A"/>
          <w:sz w:val="23"/>
          <w:szCs w:val="23"/>
        </w:rPr>
        <w:t xml:space="preserve">6.4 Google Sheet export — approval needed</w:t>
      </w:r>
    </w:p>
    <w:p>
      <w:pPr>
        <w:spacing w:after="90" w:before="60"/>
      </w:pPr>
      <w:r>
        <w:rPr>
          <w:b/>
          <w:bCs/>
          <w:color w:val="1F5FBF"/>
          <w:spacing w:val="20"/>
          <w:sz w:val="19"/>
          <w:szCs w:val="19"/>
        </w:rPr>
        <w:t xml:space="preserve">WHAT WE NEED</w:t>
      </w:r>
    </w:p>
    <w:p>
      <w:pPr>
        <w:pStyle w:val="ListParagraph"/>
        <w:numPr>
          <w:ilvl w:val="0"/>
          <w:numId w:val="2"/>
        </w:numPr>
        <w:spacing w:after="80" w:line="288"/>
      </w:pPr>
      <w:r>
        <w:rPr>
          <w:color w:val="1A1A1A"/>
          <w:sz w:val="21"/>
          <w:szCs w:val="21"/>
        </w:rPr>
        <w:t xml:space="preserve">Approval, or refusal, of exporting the lead list to a Google Sheet</w:t>
      </w:r>
    </w:p>
    <w:p>
      <w:pPr>
        <w:pStyle w:val="ListParagraph"/>
        <w:numPr>
          <w:ilvl w:val="0"/>
          <w:numId w:val="2"/>
        </w:numPr>
        <w:spacing w:after="80" w:line="288"/>
      </w:pPr>
      <w:r>
        <w:rPr>
          <w:color w:val="1A1A1A"/>
          <w:sz w:val="21"/>
          <w:szCs w:val="21"/>
        </w:rPr>
        <w:t xml:space="preserve">If approved, any conditions — access restrictions, a retention period for the Sheet, or fields to omit</w:t>
      </w:r>
    </w:p>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F2F6FC" w:val="clear"/>
            <w:tcMar>
              <w:top w:type="dxa" w:w="150"/>
              <w:left w:type="dxa" w:w="170"/>
              <w:bottom w:type="dxa" w:w="150"/>
              <w:right w:type="dxa" w:w="170"/>
            </w:tcMar>
          </w:tcPr>
          <w:p>
            <w:pPr>
              <w:spacing w:after="80"/>
            </w:pPr>
            <w:r>
              <w:rPr>
                <w:b/>
                <w:bCs/>
                <w:color w:val="1A1A1A"/>
                <w:sz w:val="19"/>
                <w:szCs w:val="19"/>
              </w:rPr>
              <w:t xml:space="preserve">Why we need it</w:t>
            </w:r>
          </w:p>
          <w:p>
            <w:pPr>
              <w:spacing w:after="70" w:line="288"/>
            </w:pPr>
            <w:r>
              <w:rPr>
                <w:color w:val="1A1A1A"/>
                <w:sz w:val="21"/>
                <w:szCs w:val="21"/>
              </w:rPr>
              <w:t xml:space="preserve">Sales have asked for enquiries in a Google Sheet so the call centre can work the list. We have built the export and it produces a correctly formatted file on demand, behind a password.</w:t>
            </w:r>
          </w:p>
          <w:p>
            <w:pPr>
              <w:spacing w:after="70" w:line="288"/>
            </w:pPr>
            <w:r>
              <w:rPr>
                <w:color w:val="1A1A1A"/>
                <w:sz w:val="21"/>
                <w:szCs w:val="21"/>
              </w:rPr>
              <w:t xml:space="preserve">We have deliberately not enabled automatic syncing. That export contains customers’ complete phone numbers in plain, readable text, and a Google Sheet can be opened by anyone holding the link.</w:t>
            </w:r>
          </w:p>
          <w:p>
            <w:pPr>
              <w:spacing w:after="70" w:line="288"/>
            </w:pPr>
            <w:r>
              <w:rPr>
                <w:color w:val="1A1A1A"/>
                <w:sz w:val="21"/>
                <w:szCs w:val="21"/>
              </w:rPr>
              <w:t xml:space="preserve">In our database those numbers are encrypted and unreadable without a key. Copying them to a Sheet removes that protection entirely, which is why we are asking before switching it on.</w:t>
            </w:r>
          </w:p>
        </w:tc>
      </w:tr>
    </w:tbl>
    <w:p>
      <w:pPr>
        <w:spacing w:after="110"/>
      </w:pPr>
    </w:p>
    <w:tbl>
      <w:tblPr>
        <w:tblW w:type="dxa" w:w="9026"/>
        <w:tblBorders>
          <w:top w:val="single" w:color="D5D7DA" w:sz="2"/>
          <w:left w:val="single" w:color="D5D7DA" w:sz="2"/>
          <w:bottom w:val="single" w:color="D5D7DA" w:sz="2"/>
          <w:right w:val="single" w:color="D5D7DA" w:sz="2"/>
          <w:insideH w:val="none"/>
          <w:insideV w:val="none"/>
        </w:tblBorders>
      </w:tblPr>
      <w:tblGrid>
        <w:gridCol w:w="9026"/>
      </w:tblGrid>
      <w:tr>
        <w:tc>
          <w:tcPr>
            <w:tcW w:type="dxa" w:w="9026"/>
            <w:shd w:fill="EFEFEF" w:val="clear"/>
            <w:tcMar>
              <w:top w:type="dxa" w:w="150"/>
              <w:left w:type="dxa" w:w="170"/>
              <w:bottom w:type="dxa" w:w="150"/>
              <w:right w:type="dxa" w:w="170"/>
            </w:tcMar>
          </w:tcPr>
          <w:p>
            <w:pPr>
              <w:spacing w:after="80"/>
            </w:pPr>
            <w:r>
              <w:rPr>
                <w:b/>
                <w:bCs/>
                <w:color w:val="1A1A1A"/>
                <w:sz w:val="19"/>
                <w:szCs w:val="19"/>
              </w:rPr>
              <w:t xml:space="preserve">Our recommendation</w:t>
            </w:r>
          </w:p>
          <w:p>
            <w:pPr>
              <w:spacing w:after="70" w:line="288"/>
            </w:pPr>
            <w:r>
              <w:rPr>
                <w:color w:val="1A1A1A"/>
                <w:sz w:val="21"/>
                <w:szCs w:val="21"/>
              </w:rPr>
              <w:t xml:space="preserve">Our recommendation: the database remains the single master copy, and any Google Sheet is a one-way, read-only mirror that nobody edits. Access limited to named call-centre staff.</w:t>
            </w:r>
          </w:p>
        </w:tc>
      </w:tr>
    </w:tbl>
    <w:p>
      <w:pPr>
        <w:pBdr>
          <w:top w:val="single" w:color="D5D7DA" w:sz="4" w:space="10"/>
        </w:pBdr>
        <w:spacing w:before="420"/>
      </w:pPr>
    </w:p>
    <w:p>
      <w:pPr>
        <w:spacing w:before="120"/>
      </w:pPr>
      <w:r>
        <w:rPr>
          <w:i/>
          <w:iCs/>
          <w:color w:val="5A5A5A"/>
          <w:sz w:val="19"/>
          <w:szCs w:val="19"/>
        </w:rPr>
        <w:t xml:space="preserve">Any question about any item in this document can come back to the development team.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Ampere booking page — information and decisions we need</dc:title>
  <dc:creator>Ampere /buy development</dc:creator>
  <dc:description>Outstanding requirements to move the Ampere booking page into production</dc:description>
  <cp:lastModifiedBy>Un-named</cp:lastModifiedBy>
  <cp:revision>1</cp:revision>
  <dcterms:created xsi:type="dcterms:W3CDTF">2026-10-06T13:26:37.166Z</dcterms:created>
  <dcterms:modified xsi:type="dcterms:W3CDTF">2026-10-06T13:26:37.175Z</dcterms:modified>
</cp:coreProperties>
</file>

<file path=docProps/custom.xml><?xml version="1.0" encoding="utf-8"?>
<Properties xmlns="http://schemas.openxmlformats.org/officeDocument/2006/custom-properties" xmlns:vt="http://schemas.openxmlformats.org/officeDocument/2006/docPropsVTypes"/>
</file>