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MID-SEMESTER PROGRESS REPORT</w:t>
      </w:r>
    </w:p>
    <w:p>
      <w:pPr>
        <w:spacing w:after="700" w:before="1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B. Tech. Project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34"/>
          <w:szCs w:val="34"/>
        </w:rPr>
        <w:t xml:space="preserve">Input Representation Dominates Model Choice in</w:t>
      </w:r>
    </w:p>
    <w:p>
      <w:pPr>
        <w:spacing w:after="700"/>
        <w:jc w:val="center"/>
      </w:pPr>
      <w:r>
        <w:rPr>
          <w:rFonts w:ascii="Times New Roman" w:cs="Times New Roman" w:eastAsia="Times New Roman" w:hAnsi="Times New Roman"/>
          <w:b/>
          <w:bCs/>
          <w:sz w:val="34"/>
          <w:szCs w:val="34"/>
        </w:rPr>
        <w:t xml:space="preserve">Machine-Learning Modulation Format Identification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Submitted by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Nitesh Kumar Yadav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(Roll No. ________)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Yash Mittal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(Roll No. ________)</w:t>
      </w:r>
    </w:p>
    <w:p>
      <w:pPr>
        <w:spacing w:after="5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Sajan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(Roll No. ________)</w:t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Under the supervision of</w:t>
      </w:r>
    </w:p>
    <w:p>
      <w:pPr>
        <w:spacing w:after="62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____________________________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Department of Electronics and Communication Engineering</w:t>
      </w:r>
    </w:p>
    <w:p>
      <w:pPr>
        <w:spacing w:after="6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Netaji Subhas University of Technology</w:t>
      </w:r>
    </w:p>
    <w:p>
      <w:pPr>
        <w:spacing w:after="40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Delhi, India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September 2026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Certificate and Declaration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One short paragraph. State that this report presents the work carried out by the three of you,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that it has not been submitted elsewhere, and that sources are acknowledged. Then a second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sentence from the supervisor certifying the work was done under their supervision.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Check whether your department has a prescribed wording — if it does, use theirs instead.</w:t>
      </w:r>
    </w:p>
    <w:p>
      <w:pPr>
        <w:spacing w:after="120" w:before="20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Turnitin similarity report for this document is attached. Plagiarism: ______ %.  AI-generated content: ______ %.</w:t>
      </w:r>
    </w:p>
    <w:p>
      <w:pPr>
        <w:spacing w:after="0" w:before="40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Signatures of all students</w:t>
      </w:r>
    </w:p>
    <w:p>
      <w:pPr>
        <w:tabs>
          <w:tab w:val="right" w:pos="9000"/>
        </w:tabs>
        <w:spacing w:after="0" w:before="5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............................................................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............................................................</w:t>
      </w:r>
    </w:p>
    <w:p>
      <w:pPr>
        <w:tabs>
          <w:tab w:val="right" w:pos="9000"/>
        </w:tabs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Nitesh Kumar Yadav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Yash Mittal</w:t>
      </w:r>
    </w:p>
    <w:p>
      <w:pPr>
        <w:tabs>
          <w:tab w:val="right" w:pos="9000"/>
        </w:tabs>
        <w:spacing w:after="0" w:before="5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............................................................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............................................................</w:t>
      </w:r>
    </w:p>
    <w:p>
      <w:pPr>
        <w:tabs>
          <w:tab w:val="right" w:pos="9000"/>
        </w:tabs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Sajan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Date</w:t>
      </w:r>
    </w:p>
    <w:p>
      <w:pPr>
        <w:spacing w:after="0" w:before="52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Signature of the supervisor</w:t>
      </w:r>
    </w:p>
    <w:p>
      <w:pPr>
        <w:tabs>
          <w:tab w:val="right" w:pos="9000"/>
        </w:tabs>
        <w:spacing w:after="0" w:before="5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............................................................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............................................................</w:t>
      </w:r>
    </w:p>
    <w:p>
      <w:pPr>
        <w:tabs>
          <w:tab w:val="right" w:pos="9000"/>
        </w:tabs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Supervisor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Date</w:t>
      </w:r>
    </w:p>
    <w:p>
      <w:r>
        <w:br w:type="page"/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Table of 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1. Introduction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Para 1 — Optical fibre carries the internet. Data is sent as light; to send more than one bit per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pulse the transmitter varies both amplitude and phase. Define "symbol" and "modulation format"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here; the committee may not be optical specialists.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Para 2 — Elastic optical networks change format dynamically: 64-QAM on a short clean link,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QPSK on a long noisy one. State the consequence plainly: the receiver cannot demodulate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anything until it knows which format arrived.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Para 3 — That is what modulation format identification (MFI) solves: infer the format from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signal itself, with no control channel. Place it inside optical performance monitoring (OPM).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1.1 The five modulation formats considered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900"/>
        <w:gridCol w:w="3860"/>
      </w:tblGrid>
      <w:tr>
        <w:trPr>
          <w:tblHeader/>
        </w:trPr>
        <w:tc>
          <w:tcPr>
            <w:tcW w:type="dxa" w:w="21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Format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Points</w:t>
            </w:r>
          </w:p>
        </w:tc>
        <w:tc>
          <w:tcPr>
            <w:tcW w:type="dxa" w:w="19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Bits/symbol</w:t>
            </w:r>
          </w:p>
        </w:tc>
        <w:tc>
          <w:tcPr>
            <w:tcW w:type="dxa" w:w="38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Shape on the I–Q plane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QPSK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2×2 square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8-QAM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Star — 4 inner + 4 outer, rotated 45°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16-QAM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16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4×4 square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32-QAM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32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Cross — 6×6 grid minus the 4 corners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64-QAM</w:t>
            </w:r>
          </w:p>
        </w:tc>
        <w:tc>
          <w:tcPr>
            <w:tcW w:type="dxa" w:w="1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38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8×8 square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1.1 — The five formats. Two are deliberately non-square, so a classifier cannot succeed by measuring grid density alone.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One paragraph on the fundamental trade-off: more points carry more bits per symbol, but sit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closer together, so less noise is needed to push a received point into its neighbour's region.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Say that this tension drives every design decision in the project.</w:t>
      </w:r>
    </w:p>
    <w:p>
      <w:pPr>
        <w:spacing w:after="40" w:before="200"/>
        <w:jc w:val="center"/>
      </w:pPr>
      <w:r>
        <w:drawing>
          <wp:inline distT="0" distB="0" distL="0" distR="0">
            <wp:extent cx="28575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1.1 — Constellation diagrams for the five formats across a range of OSNR. At low OSNR the classes become visually indistinguishable.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~60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Closing paragraph — our question and the contribution, in brief. The standard comparison in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literature changes the model and the input at the same time, so it cannot say which caused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gain. We add an MLP on the same 15 features to separate them. End with the headline result: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representation is worth about three times what the algorithm is worth.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2. Literature Survey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This section is worth marks in its own right under the evaluation scheme. Organise it by theme, and end each subsection with what that line of work leaves open.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2.1 Feature-based MFI: the classical approach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~85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Higher-order cumulants as the standard pre-deep-learning tool. Swami and Sadler [2] established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hierarchical cumulant approach; Dobre et al. [3] surveyed the field. Explain WHY cumulants: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Gaussian noise cancels at fourth order and above, so they fingerprint the constellation robustly.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Close on the limitation — they are statistics of an ASSUMED signal model.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2.2 Alternative hand-crafted representations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~95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Not everyone uses cumulants. Amplitude histograms (Khan et al. [5]; Wang and Liu [15]), Stokes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space with PCA (Xu et al. [12]; Jiang et al. [13]), and neural networks on histogram features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selected by genetic algorithms (Zhang et al. [14]). The point to land: the field has explored many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representations, but almost always changes the classifier at the same time.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2.3 Deep learning on constellation images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~95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Wang et al. [4] introduced the intelligent constellation diagram analyzer. Khan et al. [11] did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joint OSNR monitoring and MFI with deep neural networks. Huang et al. [8] used an SVM on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constellation images via GLCM features — a useful midpoint between the two camps. Leblebici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et al. [16] is a recent CNN case study. Gap: every one of these compares a deep model on images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against a shallow model on features.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2.4 The parallel in wireless communications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~85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O'Shea et al. [6] brought CNNs to raw I/Q in radio. Ge et al. [7] is the closest prior work to ours: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it analysed representation effects in WIRELESS automatic modulation classification. Tian et al. [9]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survey the whole deep-learning AMC field organised explicitly by data representation.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Be honest here — say plainly that the question has been asked in wireless. Examiners respect this.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2.5 The gap this project addresses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Two or three sentences. Nobody, in the optical case, holds the input fixed while varying only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algorithm AND holds the algorithm fixed while varying only the input. And nobody has asked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whether the representation affects a model's ability to detect its own failure — Yang and Sahay [10]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study uncertainty, but for a single representation.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3. Problem Statement and Methodology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3.1 Problem statement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State it formally: given a capture of N symbols received by a coherent optical receiver, assign it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to one of five modulation formats. Then state the research question as an actual question: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does the gain reported for CNN-based MFI come from the model or from the input representation?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3.2 Experimental design</w:t>
      </w:r>
    </w:p>
    <w:p>
      <w:pPr>
        <w:spacing w:after="1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design isolates the two variables that the literature changes together.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3400"/>
        <w:gridCol w:w="3400"/>
      </w:tblGrid>
      <w:tr>
        <w:trPr>
          <w:tblHeader/>
        </w:trPr>
        <w:tc>
          <w:tcPr>
            <w:tcW w:type="dxa" w:w="25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Shallow model</w:t>
            </w:r>
          </w:p>
        </w:tc>
        <w:tc>
          <w:tcPr>
            <w:tcW w:type="dxa" w:w="34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Deep model</w:t>
            </w:r>
          </w:p>
        </w:tc>
      </w:tr>
      <w:tr>
        <w:trPr>
          <w:tblHeader w:val="false"/>
        </w:trPr>
        <w:tc>
          <w:tcPr>
            <w:tcW w:type="dxa" w:w="2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hand-crafted features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SVM,  k-NN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MLP  ←  the control that is usually missing</w:t>
            </w:r>
          </w:p>
        </w:tc>
      </w:tr>
      <w:tr>
        <w:trPr>
          <w:tblHeader w:val="false"/>
        </w:trPr>
        <w:tc>
          <w:tcPr>
            <w:tcW w:type="dxa" w:w="2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64×64 constellation image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CNN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3.1 — Moving across a row changes only the algorithm. Moving down the MLP/CNN column changes only the representation.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the MLP is the critical control: it is a trained deep network that sees only the 15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features. If MLP ≈ SVM, the representation is what matters. If MLP ≈ CNN, the model is what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matters. Say explicitly that either outcome would have been a real finding — that is what makes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this an experiment rather than a demonstration.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3.3 The optical link simulator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Justify simulation in two or three sentences: no public dataset of labelled optical constellation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captures exists, a physical testbed is far beyond project budget, and simulation gives exactly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controlled OSNR sweeps — which the central claim requires.</w:t>
      </w:r>
    </w:p>
    <w:p>
      <w:pPr>
        <w:spacing w:after="10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simulated signal chain, in order: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Draw 4096 random symbols from the chosen format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Residual chromatic dispersion (inter-symbol interference)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Laser phase noise and residual frequency offset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 Carrier phase recovery over 64-symbol blocks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 I/Q gain imbalance and phase skew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 Automatic gain control — normalise to unit average power</w:t>
      </w:r>
    </w:p>
    <w:p>
      <w:pPr>
        <w:spacing w:after="40" w:before="0" w:line="360"/>
        <w:ind w:left="4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 Additive white Gaussian noise at the target OSNR</w:t>
      </w:r>
    </w:p>
    <w:p>
      <w:pPr>
        <w:spacing w:after="10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700"/>
        <w:gridCol w:w="3160"/>
      </w:tblGrid>
      <w:tr>
        <w:trPr>
          <w:tblHeader/>
        </w:trPr>
        <w:tc>
          <w:tcPr>
            <w:tcW w:type="dxa" w:w="25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Impairment</w:t>
            </w:r>
          </w:p>
        </w:tc>
        <w:tc>
          <w:tcPr>
            <w:tcW w:type="dxa" w:w="37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Physical cause</w:t>
            </w:r>
          </w:p>
        </w:tc>
        <w:tc>
          <w:tcPr>
            <w:tcW w:type="dxa" w:w="31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Effect on the constellation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ASE noise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Spontaneous emission from the inline amplifier chain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Every point spreads into a cloud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Residual chromatic dispersion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Wavelengths travel at different speeds; pulses overlap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Points blur into each other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Laser phase noise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Laser phase drifts as a random walk, set by linewidth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Angular smearing into arcs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Frequency offset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Transmitter laser and local oscillator are separate devices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The constellation rotates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I/Q imbalance</w:t>
            </w:r>
          </w:p>
        </w:tc>
        <w:tc>
          <w:tcPr>
            <w:tcW w:type="dxa" w:w="3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Unequal receiver arm gain; hybrid not exactly 90°</w:t>
            </w:r>
          </w:p>
        </w:tc>
        <w:tc>
          <w:tcPr>
            <w:tcW w:type="dxa" w:w="3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Square grid skews to a parallelogram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3.2 — The five impairments modelled. Most student projects simulate only the first row.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Include the frequency-offset ordering problem as a short paragraph — it is a genuine finding and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good viva material. The offset must be applied BEFORE carrier phase recovery, because removing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it is one of CPE's jobs. Applied afterwards, 1 MHz of offset smeared every point into a 46° arc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and constellations looked destroyed even at 25 dB. Describe the fix and what it taught you.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3.4 Validation of the simulator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the check before the table: for a noiseless unit-power constellation the normalised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fourth-order cumulant is an exact finite sum over the constellation points — pure algebra, no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simulation. A faithful simulator must reproduce 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tblHeader/>
        </w:trPr>
        <w:tc>
          <w:tcPr>
            <w:tcW w:type="dxa" w:w="28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Format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Exact theory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Simulated</w:t>
            </w:r>
          </w:p>
        </w:tc>
        <w:tc>
          <w:tcPr>
            <w:tcW w:type="dxa" w:w="21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Error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QPSK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1.0000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0.9997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0.0003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8-QAM (star)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1.5274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1.5251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0.0023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16-QAM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0.6800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0.6830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0.0030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32-QAM (cross)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0.1900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0.1868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0.0032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64-QAM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0.6190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0.6198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0.0007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3.3 — Normalised fourth-order cumulant |C40|/C21². All five formats agree with exact theory to within 0.004. The three square formats additionally match the constants published in the literature.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3.5 The three representations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Representation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Shape</w:t>
            </w:r>
          </w:p>
        </w:tc>
        <w:tc>
          <w:tcPr>
            <w:tcW w:type="dxa" w:w="41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Human pre-processing involved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Raw I/Q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 × 512</w:t>
            </w:r>
          </w:p>
        </w:tc>
        <w:tc>
          <w:tcPr>
            <w:tcW w:type="dxa" w:w="4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None — the symbols as received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Constellation image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 × 64</w:t>
            </w:r>
          </w:p>
        </w:tc>
        <w:tc>
          <w:tcPr>
            <w:tcW w:type="dxa" w:w="4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Binning into a 2-D histogram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Statistical features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</w:t>
            </w:r>
          </w:p>
        </w:tc>
        <w:tc>
          <w:tcPr>
            <w:tcW w:type="dxa" w:w="41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Substantial — chosen cumulants and amplitude statistics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3.4 — All three are derived from the same signal realisation, so the comparison between them is exactly fair.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~65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a 2-D histogram rather than a matplotlib scatter plot: roughly 250× faster to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generate, it preserves density where a scatter plot saturates to solid colour, and it has no axes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or anti-aliasing for the network to latch onto. Then the log(1+x) scaling, and why: cluster centres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get far more hits than the noise tails, which would otherwise round to zero and vanish.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3.6 The five classifiers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 short paragraph per model family. For the CNN give the layer stack (three Conv3×3 → BatchNorm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→ ReLU → MaxPool blocks at 16/32/64 channels, dropout, two dense layers) and explain why it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flattens rather than using global average pooling — the geometric ARRANGEMENT of clusters is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signal. Note that the 1-D model makes the opposite choice for the opposite reason.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3.7 Experimental protocol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split is 70/15/15, stratified on (format, OSNR) so all 105 cells are divided identically.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three sets and not two: validation decides when to stop, so it is no longer a neutral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judge; test is touched once. Mention the three seeds (42, 43, 44) and that every model sits inside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 Pipeline with StandardScaler so the scaler never sees test data — a common source of leakage.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4. Work Done Till Date, Results and Discussion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All figures are mean ± standard deviation over three seeds. Every number in this section is generated directly from the stored results and re-derived by an automated audit.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4.1 Main comparison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2600"/>
        <w:gridCol w:w="1760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Model</w:t>
            </w:r>
          </w:p>
        </w:tc>
        <w:tc>
          <w:tcPr>
            <w:tcW w:type="dxa" w:w="26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Input</w:t>
            </w:r>
          </w:p>
        </w:tc>
        <w:tc>
          <w:tcPr>
            <w:tcW w:type="dxa" w:w="26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Accuracy</w:t>
            </w:r>
          </w:p>
        </w:tc>
        <w:tc>
          <w:tcPr>
            <w:tcW w:type="dxa" w:w="17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Parameters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CNN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64×64 image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98.73 ± 0.12 %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285,941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SVM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features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93.41 ± 0.10 %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MLP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features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93.08 ± 0.10 %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11,013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k-NN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features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91.58 ± 0.08 %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IQ-CNN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raw I/Q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86.56 ± 4.64 %</w:t>
            </w:r>
          </w:p>
        </w:tc>
        <w:tc>
          <w:tcPr>
            <w:tcW w:type="dxa" w:w="17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27,781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4.1 — Test accuracy for all five classifiers on the realistic channel.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central result, in your own words. Three fundamentally different algorithms on identical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features span 1.83 points. Changing the representation to the density image gains 5.32 points —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about three times larger. Point out that the MLP, a deep network, came out BELOW the SVM,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 shallow one: adding depth to the feature pipeline bought nothing at all.</w:t>
      </w:r>
    </w:p>
    <w:p>
      <w:pPr>
        <w:spacing w:after="40" w:before="200"/>
        <w:jc w:val="center"/>
      </w:pPr>
      <w:r>
        <w:drawing>
          <wp:inline distT="0" distB="0" distL="0" distR="0">
            <wp:extent cx="4191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4.1 — The algorithm effect and the representation effect, separated.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4.2 Accuracy against OSNR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Model</w:t>
            </w:r>
          </w:p>
        </w:tc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OSNR for ≥95 % accuracy</w:t>
            </w:r>
          </w:p>
        </w:tc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OSNR for ≥99 %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CNN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7 dB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10 dB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SVM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14 dB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18 dB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k-NN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15 dB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18 dB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4.2 — The same result expressed as an OSNR margin, which converts directly into reach or amplifier count.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the margin is the better number to quote to an optical engineer, and describe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shape of the curves: below about 9 dB the feature-based classifiers fall away while the CNN holds.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At 5 dB the information is genuinely gone — no classifier can recover what the channel destroyed.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4.3 Generalisation to unseen OSNR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The CNN scores 97.45 ± 0.16 % on OSNR levels withheld entirely from training, a drop of only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1.27 points. State the conclusion: it learned the physics of the constellation, not the specific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noise levels it was trained on.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4.4 Robustness under channel mismatch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Trained on</w:t>
            </w:r>
          </w:p>
        </w:tc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CNN → severe</w:t>
            </w:r>
          </w:p>
        </w:tc>
        <w:tc>
          <w:tcPr>
            <w:tcW w:type="dxa" w:w="312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SVM → severe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Clean (AWGN only)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89.78 %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21.84 %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Realistic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91.17 %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71.98 %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Severe (matched)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97.84 %</w:t>
            </w:r>
          </w:p>
        </w:tc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94.03 %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4.3 — Train on one channel, test on another. Chance level is 20 %.</w:t>
      </w:r>
    </w:p>
    <w:p>
      <w:pPr>
        <w:spacing w:after="40" w:before="200"/>
        <w:jc w:val="center"/>
      </w:pPr>
      <w:r>
        <w:drawing>
          <wp:inline distT="0" distB="0" distL="0" distR="0">
            <wp:extent cx="4572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4.3 — Accuracy under channel mismatch.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~80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This is the strongest result — give it room. The feature-based classifier collapses to essentially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random guessing on a channel it never saw, while the CNN degrades gracefully. Give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mechanism, not just the number: cumulants are statistics of an assumed signal model, so when the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impairments change, the learned decision boundaries stop corresponding to anything real.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Note this is a deployment claim, and that it is only measurable because the data is simulated.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4.5 Does the model know when it is failing?</w:t>
      </w:r>
    </w:p>
    <w:p>
      <w:pPr>
        <w:spacing w:after="40" w:before="200"/>
        <w:jc w:val="center"/>
      </w:pPr>
      <w:r>
        <w:drawing>
          <wp:inline distT="0" distB="0" distL="0" distR="0">
            <wp:extent cx="4572000" cy="1790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4.4 — Coverage and accuracy as a function of the confidence gate, under channel mismatch.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~85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Explain why this matters operationally: accuracy is visible only to the experimenter, while a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deployed monitor knows only what it predicted and how confident it was. Under mismatch the SVM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claims roughly twice the accuracy it achieves. At a 90 % confidence gate the CNN still answers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86.9 % of inputs while the SVM answers 0.2 % — a ratio of about 447×. The feature-based monitor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can be made accurate only by silencing it. Say that this interaction has not, to our knowledge,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been reported before.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4.6 Capture length and architecture ablation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~50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State the honest limit on the ablation: it used a single seed, and the non-monotonic behaviour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across widths shows run-to-run noise of the same order as the differences. The supported claim is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"capacity is not the binding constraint", NOT "this width is optimal". Over-claiming from one seed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is exactly what a reviewer catches.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4.7 Impairment tolerance, and where the feature-based model wins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80"/>
        <w:gridCol w:w="2980"/>
      </w:tblGrid>
      <w:tr>
        <w:trPr>
          <w:tblHeader/>
        </w:trPr>
        <w:tc>
          <w:tcPr>
            <w:tcW w:type="dxa" w:w="34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Impairment level</w:t>
            </w:r>
          </w:p>
        </w:tc>
        <w:tc>
          <w:tcPr>
            <w:tcW w:type="dxa" w:w="298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CNN</w:t>
            </w:r>
          </w:p>
        </w:tc>
        <w:tc>
          <w:tcPr>
            <w:tcW w:type="dxa" w:w="298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SVM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I/Q gain imbalance 2.5 dB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95.48 %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20.35 %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I/Q phase skew 14°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96.35 %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20.10 %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Residual CD 150 ps/nm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54.89 %</w:t>
            </w:r>
          </w:p>
        </w:tc>
        <w:tc>
          <w:tcPr>
            <w:tcW w:type="dxa" w:w="29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righ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80.14 %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4.5 — I/Q imbalance destroys the cumulant features, but chromatic dispersion inverts the result.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~70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Report the inversion prominently rather than burying it. At 150 ps/nm of residual chromatic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dispersion the SVM beats the CNN, 80.14 % against 54.89 %. Offer your explanation, and be clear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about how confident you are in it. Examiners mark honesty about a negative result well above a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clean story, and this is the question most likely to be asked.</w:t>
      </w:r>
    </w:p>
    <w:p>
      <w:pPr>
        <w:pStyle w:val="Heading2"/>
        <w:spacing w:after="140" w:before="26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4.8 Verification of correctness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Check</w:t>
            </w:r>
          </w:p>
        </w:tc>
        <w:tc>
          <w:tcPr>
            <w:tcW w:type="dxa" w:w="5560"/>
            <w:shd w:fill="E8E8E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What it establishes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Recomputed accuracy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Saved weights reloaded and accuracy recomputed from scratch: 0.986984 reported, 0.986984 recomputed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 data leakage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Train, validation and test sets share zero samples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Simulator theory check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Cumulants match exact analytic values; square formats match published constants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Noise power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Measured SNR matches target to within 0.02 dB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Stratification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Every (format, OSNR) cell split within 2 % of the intended 15 %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Shuffled-label test</w:t>
            </w:r>
          </w:p>
        </w:tc>
        <w:tc>
          <w:tcPr>
            <w:tcW w:type="dxa" w:w="55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Training on randomised labels collapses accuracy to the 20 % chance level</w:t>
            </w:r>
          </w:p>
        </w:tc>
      </w:tr>
    </w:tbl>
    <w:p>
      <w:pPr>
        <w:spacing w:after="160" w:before="8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Table 4.6 — Independent checks that re-derive results rather than trusting stored numbers.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 short paragraph on why the shuffled-label test matters: if a model still scores well after you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destroy the labels, there is a leak somewhere. Mention that the checks initially failed on noise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power and investigation showed the CHECK was wrong, not the data.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5. Future Work</w:t>
      </w:r>
    </w:p>
    <w:p>
      <w:pPr>
        <w:pBdr>
          <w:top w:val="single" w:color="E08A3C" w:sz="2"/>
          <w:bottom w:val="single" w:color="E08A3C" w:sz="2"/>
          <w:left w:val="single" w:color="E08A3C" w:sz="12"/>
          <w:right w:val="single" w:color="E08A3C" w:sz="2"/>
        </w:pBdr>
        <w:shd w:fill="FFF3E0" w:val="clear"/>
        <w:spacing w:after="200" w:before="60" w:line="276"/>
        <w:ind w:left="140" w:right="140"/>
      </w:pPr>
      <w:r>
        <w:rPr>
          <w:rFonts w:ascii="Calibri" w:cs="Calibri" w:eastAsia="Calibri" w:hAnsi="Calibri"/>
          <w:b/>
          <w:bCs/>
          <w:color w:val="8A4A12"/>
          <w:sz w:val="19"/>
          <w:szCs w:val="19"/>
        </w:rPr>
        <w:t xml:space="preserve">WRITE THIS YOURSELF  ~45 words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Opening sentence or two framing what remains. Then take the items below in order — they are</w:t>
      </w:r>
      <w:r>
        <w:rPr>
          <w:rFonts w:ascii="Calibri" w:cs="Calibri" w:eastAsia="Calibri" w:hAnsi="Calibri"/>
          <w:color w:val="5B3A16"/>
          <w:sz w:val="19"/>
          <w:szCs w:val="19"/>
        </w:rPr>
        <w:br/>
        <w:t xml:space="preserve">arranged strongest first. Write each as two or three sentences, not as a bare list.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Experimental validation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Replace simulated captures with measurements from a real coherent testbed. Data-request emails to research groups holding such data are drafted. This is the honest answer to the project's single largest limitation.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Polarisation-multiplexed signals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Commercial long-haul systems send two independent signals on orthogonal polarisations; the present model uses one. Extending to dual polarisation doubles the observable structure and is closer to deployment.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Fibre nonlinearity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channel modelled here is linear. Nonlinear noise is not Gaussian, so cumulant-based features would behave differently — and the robustness result predicts feature-based models would suffer more. That is a testable prediction, which makes it a strong candidate for the next phase.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Joint OSNR estimation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same constellation image that identifies the format also carries OSNR information. This experiment was scoped and deliberately deferred; it is a natural extension.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More formats and other symbol rates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deployed system may need more than five formats, and accuracy typically falls as classes are added. Everything here runs at 32 GBaud; transfer to other rates is untested.</w:t>
      </w:r>
    </w:p>
    <w:p>
      <w:pPr>
        <w:spacing w:after="40" w:before="14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Explaining the dispersion inversion</w:t>
      </w:r>
    </w:p>
    <w:p>
      <w:pPr>
        <w:spacing w:after="60" w:before="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Our own negative result — the SVM outperforming the CNN under residual chromatic dispersion — is not yet explained. Understanding it may point to a hybrid representation.</w:t>
      </w:r>
    </w:p>
    <w:p>
      <w:pPr>
        <w:pStyle w:val="Heading1"/>
        <w:spacing w:after="140" w:before="360"/>
      </w:pPr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6. References</w:t>
      </w:r>
    </w:p>
    <w:p>
      <w:pPr>
        <w:spacing w:after="20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4"/>
          <w:szCs w:val="24"/>
        </w:rPr>
        <w:t xml:space="preserve">All sixteen references were verified against publisher records on 23 September 2026.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[1]	F. N. Khan, Q. Fan, C. Lu and A. P. T. Lau, "An optical communication's perspective on machine learning and its applications," J. Lightw. Technol., vol. 37, no. 2, pp. 493–516, 2019.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[2]	A. Swami and B. M. Sadler, "Hierarchical digital modulation classification using cumulants," IEEE Trans. Commun., vol. 48, no. 3, pp. 416–429, 2000.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[3]	O. A. Dobre, A. Abdi, Y. Bar-Ness and W. Su, "Survey of automatic modulation classification techniques: classical approaches and new trends," IET Commun., vol. 1, no. 2, pp. 137–156, 2007.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[4]	D. Wang et al., "Intelligent constellation diagram analyzer using convolutional neural network-based deep learning," Opt. Express, vol. 25, no. 15, pp. 17150–17166, 2017.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[5]	F. N. Khan, K. Zhong, W. H. Al-Arashi, C. Yu, C. Lu and A. P. T. Lau, "Modulation format identification in coherent receivers using deep machine learning," IEEE Photon. Technol. Lett., vol. 28, no. 17, pp. 1886–1889, 2016.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[6]	T. J. O'Shea, J. Corgan and T. C. Clancy, "Convolutional radio modulation recognition networks," in Engineering Applications of Neural Networks (EANN 2016), CCIS vol. 629, Cham: Springer, 2016, pp. 213–226.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[7]	Z. Ge, H. Jiang, Y. Guo and J. Zhou, "Accuracy analysis of feature-based automatic modulation classification via deep neural network," Sensors, vol. 21, no. 24, art. 8252, 2021.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[8]	Z. Huang et al., "Modulation format identification based on signal constellation diagrams and support vector machine," Photonics, vol. 9, no. 12, art. 927, 2022.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[9]	X. Tian et al., "A survey on deep learning enabled automatic modulation classification methods: data representations, model structures, and regularization techniques," Signal Processing, vol. 242, art. 110444, 2026.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[10]	H. Yang and R. Sahay, "An uncertainty quantification framework for deep learning-based automatic modulation classification," arXiv preprint arXiv:2503.04142, 2025.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[11]	F. N. Khan, K. Zhong, X. Zhou, W. H. Al-Arashi et al., "Joint OSNR monitoring and modulation format identification in digital coherent receivers using deep neural networks," Opt. Express, vol. 25, no. 15, p. 17767, 2017.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[12]	H. Xu, L. Yang, X. Yu, Z. Zheng et al., "Blind and low-complexity modulation format identification scheme using principal component analysis of Stokes parameters for elastic optical networks," Opt. Express, vol. 28, no. 14, p. 20249, 2020.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[13]	J. Jiang, Q. Zhang, X. Xin, R. Gao et al., "Blind modulation format identification based on principal component analysis and singular value decomposition," Electronics, vol. 11, no. 4, art. 612, 2022.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[14]	S. Zhang, Y. Peng, Q. Sui, J. Li et al., "Modulation format identification in heterogeneous fiber-optic networks using artificial neural networks and genetic algorithms," Photonic Netw. Commun., vol. 32, no. 2, pp. 246–252, 2016.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[15]	T. Wang and X. Liu, "A novel modulation format identification based on amplitude histogram space," Front. Optoelectron., vol. 12, no. 2, pp. 190–196, 2019.</w:t>
      </w:r>
    </w:p>
    <w:p>
      <w:pPr>
        <w:spacing w:after="60" w:line="252"/>
        <w:ind w:left="460" w:hanging="46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[16]	M. Leblebici, A. Çalhan and M. Cicioğlu, "Deep learning-based modulation recognition with constellation diagram: a case study," Phys. Commun., vol. 63, art. 102285, 2024.</w:t>
      </w:r>
    </w:p>
    <w:p>
      <w:pPr>
        <w:spacing w:after="120" w:before="200" w:line="360"/>
        <w:jc w:val="both"/>
      </w:pPr>
      <w:r>
        <w:rPr>
          <w:rFonts w:ascii="Times New Roman" w:cs="Times New Roman" w:eastAsia="Times New Roman" w:hAnsi="Times New Roman"/>
          <w:i/>
          <w:iCs/>
          <w:color w:val="B04A00"/>
          <w:sz w:val="24"/>
          <w:szCs w:val="24"/>
        </w:rPr>
        <w:t xml:space="preserve">Reference [15]: confirm the issue year before submission. Crossref records the online-first date as June 2018, but volume 12 belongs to the 2019 volume year. Cite the issue year, not the online date.</w:t>
      </w:r>
    </w:p>
    <w:sectPr>
      <w:footerReference w:type="default" r:id="rId7"/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df9e331c5e367915193f466f886c5dae0202b61.png"/><Relationship Id="rId9" Type="http://schemas.openxmlformats.org/officeDocument/2006/relationships/image" Target="media/c2da5f6edf173f68c094d88b7144c287b379138f.png"/><Relationship Id="rId10" Type="http://schemas.openxmlformats.org/officeDocument/2006/relationships/image" Target="media/a309ac0cacc7d0332cbcfd419de4499498de93c2.png"/><Relationship Id="rId11" Type="http://schemas.openxmlformats.org/officeDocument/2006/relationships/image" Target="media/fccff12972b4fca7777b3e2e08f60e425baa604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2026-09-23T23:41:47.757Z</dcterms:created>
  <dcterms:modified xsi:type="dcterms:W3CDTF">2026-09-23T23:41:47.758Z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