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MID-SEMESTER PROGRESS REPORT</w:t>
      </w:r>
    </w:p>
    <w:p>
      <w:pPr>
        <w:spacing w:after="700" w:before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B. Tech. Project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Input Representation Dominates Model Choice in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Machine-Learning Modulation Format Identification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by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Nitesh Kumar Yadav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2023UEA7232)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Yash Mittal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2023UEA7225)</w:t>
      </w:r>
    </w:p>
    <w:p>
      <w:pPr>
        <w:spacing w:after="5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Sajan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(Roll No. 2023UEA6603)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Under the supervision of</w:t>
      </w:r>
    </w:p>
    <w:p>
      <w:pPr>
        <w:spacing w:after="6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Dr. Manisha Khulbe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Department of Electronics and Communication Engineering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Netaji Subhas University of Technology, East Campus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Geeta Colony, New Delhi - 110031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September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Certificate and Declaration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One short paragraph. State that this report presents the work carried out by the three of you,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that it has not been submitted elsewhere, and that sources are acknowledged. Then a second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sentence from the supervisor certifying the work was done under their supervision.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Check whether your department has a prescribed wording — if it does, use theirs instead.</w:t>
      </w:r>
    </w:p>
    <w:p>
      <w:pPr>
        <w:spacing w:after="12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Turnitin similarity report for this document is attached. Plagiarism: ______ %.  AI-generated content: ______ %.</w:t>
      </w:r>
    </w:p>
    <w:p>
      <w:pPr>
        <w:spacing w:after="0" w:before="4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Signatures of all students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Nitesh Kumar Yadav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Yash Mittal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Sajan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Date</w:t>
      </w:r>
    </w:p>
    <w:p>
      <w:pPr>
        <w:spacing w:after="0" w:before="5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Signature of the supervisor</w:t>
      </w:r>
    </w:p>
    <w:p>
      <w:pPr>
        <w:tabs>
          <w:tab w:val="right" w:pos="9000"/>
        </w:tabs>
        <w:spacing w:after="0" w:before="5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............................................................</w:t>
      </w:r>
    </w:p>
    <w:p>
      <w:pPr>
        <w:tabs>
          <w:tab w:val="right" w:pos="9000"/>
        </w:tabs>
        <w:spacing w:after="6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Dr. Manisha Khulbe  (Supervisor)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Date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Introduction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1 — Optical fibre carries the internet. Data is sent as light; to send more than one bit per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pulse the transmitter varies both amplitude and phase. Define "symbol" and "modulation format"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here; the committee may not be optical specialists.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2 — Elastic optical networks change format dynamically: 64-QAM on a short clean link,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QPSK on a long noisy one. State the consequence plainly: the receiver cannot demodulate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anything until it knows which format arrived.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Para 3 — That is what modulation format identification (MFI) solves: infer the format from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signal itself, with no control channel. Place it inside optical performance monitoring (OPM).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 The five modulation formats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1900"/>
        <w:gridCol w:w="3860"/>
      </w:tblGrid>
      <w:tr>
        <w:trPr>
          <w:tblHeader/>
        </w:trPr>
        <w:tc>
          <w:tcPr>
            <w:tcW w:type="dxa" w:w="21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15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Points</w:t>
            </w:r>
          </w:p>
        </w:tc>
        <w:tc>
          <w:tcPr>
            <w:tcW w:type="dxa" w:w="19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Bits/symbol</w:t>
            </w:r>
          </w:p>
        </w:tc>
        <w:tc>
          <w:tcPr>
            <w:tcW w:type="dxa" w:w="38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Shape on the I–Q plane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QPSK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2×2 square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Star — 4 inner + 4 outer, rotated 45°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4×4 square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Cross — 6×6 grid minus the 4 corners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64-QAM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3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8×8 square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1.1 — The five formats. Two are deliberately non-square, so a classifier cannot succeed by measuring grid density alone.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One paragraph on the fundamental trade-off: more points carry more bits per symbol, but sit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closer together, so less noise is needed to push a received point into its neighbour's region.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Say that this tension drives every design decision in the project.</w:t>
      </w:r>
    </w:p>
    <w:p>
      <w:pPr>
        <w:spacing w:after="40" w:before="200"/>
        <w:jc w:val="center"/>
      </w:pPr>
      <w:r>
        <w:drawing>
          <wp:inline distT="0" distB="0" distL="0" distR="0">
            <wp:extent cx="2857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1.1 — Constellation diagrams for the five formats across a range of OSNR. At low OSNR the classes become visually indistinguishable.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~60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Closing paragraph — our question and the contribution, in brief. The standard comparison in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literature changes the model and the input at the same time, so it cannot say which caused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gain. We add an MLP on the same 15 features to separate them. End with the headline result: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representation is worth about three times what the algorithm is worth.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Literature Survey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This section is worth marks in its own right under the evaluation scheme. Organise it by theme, and end each subsection with what that line of work leaves open.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 Feature-based MFI: the classical approach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Higher-order cumulants as the standard pre-deep-learning tool. Swami and Sadler [2] established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hierarchical cumulant approach; Dobre et al. [3] surveyed the field. Explain WHY cumulants: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Gaussian noise cancels at fourth order and above, so they fingerprint the constellation robustly.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Close on the limitation — they are statistics of an ASSUMED signal model.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 Alternative hand-crafted representations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~95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Not everyone uses cumulants. Amplitude histograms (Khan et al. [5]; Wang and Liu [15]), Stokes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space with PCA (Xu et al. [12]; Jiang et al. [13]), and neural networks on histogram features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selected by genetic algorithms (Zhang et al. [14]). The point to land: the field has explored many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representations, but almost always changes the classifier at the same time.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 Deep learning on constellation images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~95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Wang et al. [4] introduced the intelligent constellation diagram analyzer. Khan et al. [11] did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joint OSNR monitoring and MFI with deep neural networks. Huang et al. [8] used an SVM on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constellation images via GLCM features — a useful midpoint between the two camps. Leblebici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et al. [16] is a recent CNN case study. Gap: every one of these compares a deep model on images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against a shallow model on features.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2.4 The parallel in wireless communications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O'Shea et al. [6] brought CNNs to raw I/Q in radio. Ge et al. [7] is the closest prior work to ours: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it analysed representation effects in WIRELESS automatic modulation classification. Tian et al. [9]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survey the whole deep-learning AMC field organised explicitly by data representation.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Be honest here — say plainly that the question has been asked in wireless. Examiners respect this.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 The gap this project addresses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Two or three sentences. Nobody, in the optical case, holds the input fixed while varying only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algorithm AND holds the algorithm fixed while varying only the input. And nobody has asked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whether the representation affects a model's ability to detect its own failure — Yang and Sahay [10]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study uncertainty, but for a single representation.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Problem Statement and Methodology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 Problem statement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State it formally: given a capture of N symbols received by a coherent optical receiver, assign 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to one of five modulation formats. Then state the research question as an actual question: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does the gain reported for CNN-based MFI come from the model or from the input representation?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 Experimental design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design isolates the two variables that the literature changes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3400"/>
        <w:gridCol w:w="3400"/>
      </w:tblGrid>
      <w:tr>
        <w:trPr>
          <w:tblHeader/>
        </w:trPr>
        <w:tc>
          <w:tcPr>
            <w:tcW w:type="dxa" w:w="25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/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Shallow model</w:t>
            </w:r>
          </w:p>
        </w:tc>
        <w:tc>
          <w:tcPr>
            <w:tcW w:type="dxa" w:w="3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Deep model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hand-crafted features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SVM,  k-NN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MLP  ←  the control that is usually missing</w:t>
            </w:r>
          </w:p>
        </w:tc>
      </w:tr>
      <w:tr>
        <w:trPr>
          <w:tblHeader w:val="false"/>
        </w:trPr>
        <w:tc>
          <w:tcPr>
            <w:tcW w:type="dxa" w:w="2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64×64 constellation image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3.1 — Moving across a row changes only the algorithm. Moving down the MLP/CNN column changes only the representation.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the MLP is the critical control: it is a trained deep network that sees only the 15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features. If MLP ≈ SVM, the representation is what matters. If MLP ≈ CNN, the model is what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matters. Say explicitly that either outcome would have been a real finding — that is what makes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this an experiment rather than a demonstration.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 The optical link simulator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Justify simulation in two or three sentences: no public dataset of labelled optical constellation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captures exists, a physical testbed is far beyond project budget, and simulation gives exactly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controlled OSNR sweeps — which the central claim requires.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simulated signal chain, in order: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Draw 4096 random symbols from the chosen format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Residual chromatic dispersion (inter-symbol interference)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Laser phase noise and residual frequency offset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Carrier phase recovery over 64-symbol blocks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I/Q gain imbalance and phase skew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Automatic gain control — normalise to unit average power</w:t>
      </w:r>
    </w:p>
    <w:p>
      <w:pPr>
        <w:spacing w:after="40" w:before="0" w:line="360"/>
        <w:ind w:left="4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Additive white Gaussian noise at the target OSNR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Impairment</w:t>
            </w:r>
          </w:p>
        </w:tc>
        <w:tc>
          <w:tcPr>
            <w:tcW w:type="dxa" w:w="37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Physical cause</w:t>
            </w:r>
          </w:p>
        </w:tc>
        <w:tc>
          <w:tcPr>
            <w:tcW w:type="dxa" w:w="3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Effect on the constellation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ASE noise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Spontaneous emission from the inline amplifier chain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Every point spreads into a cloud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Residual chromatic dispersion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Wavelengths travel at different speeds; pulses overlap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Points blur into each other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Laser phase noise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Laser phase drifts as a random walk, set by linewidth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Angular smearing into arcs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Frequency offset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Transmitter laser and local oscillator are separate devices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constellation rotates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I/Q imbalance</w:t>
            </w:r>
          </w:p>
        </w:tc>
        <w:tc>
          <w:tcPr>
            <w:tcW w:type="dxa" w:w="3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Unequal receiver arm gain; hybrid not exactly 90°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Square grid skews to a parallelogram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3.2 — The five impairments modelled. Most student projects simulate only the first row.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Include the frequency-offset ordering problem as a short paragraph — it is a genuine finding and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good viva material. The offset must be applied BEFORE carrier phase recovery, because removing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it is one of CPE's jobs. Applied afterwards, 1 MHz of offset smeared every point into a 46° arc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and constellations looked destroyed even at 25 dB. Describe the fix and what it taught you.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 Validation of the simulator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the check before the table: for a noiseless unit-power constellation the normalised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fourth-order cumulant is an exact finite sum over the constellation points — pure algebra, no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simulation. A faithful simulator must reproduce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Format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Exact theory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Simulated</w:t>
            </w:r>
          </w:p>
        </w:tc>
        <w:tc>
          <w:tcPr>
            <w:tcW w:type="dxa" w:w="2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QPSK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1.0000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0.9997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8-QAM (star)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1.5274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1.5251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0.0023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16-QAM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0.6800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0.6830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0.0030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32-QAM (cross)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0.1900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0.1868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0.0032</w:t>
            </w:r>
          </w:p>
        </w:tc>
      </w:tr>
      <w:tr>
        <w:trPr>
          <w:tblHeader w:val="false"/>
        </w:trPr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64-QAM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0.6190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0.6198</w:t>
            </w:r>
          </w:p>
        </w:tc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0.0007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3.3 — Normalised fourth-order cumulant |C40|/C21². All five formats agree with exact theory to within 0.004. The three square formats additionally match the constants published in the literature.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 The three representations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Representation</w:t>
            </w:r>
          </w:p>
        </w:tc>
        <w:tc>
          <w:tcPr>
            <w:tcW w:type="dxa" w:w="22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Shape</w:t>
            </w:r>
          </w:p>
        </w:tc>
        <w:tc>
          <w:tcPr>
            <w:tcW w:type="dxa" w:w="41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Human pre-processing involved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Raw I/Q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 × 512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None — the symbols as received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Constellation image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 × 64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Binning into a 2-D histogram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Statistical features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Substantial — chosen cumulants and amplitude statistics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3.4 — All three are derived from the same signal realisation, so the comparison between them is exactly fair.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~65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a 2-D histogram rather than a matplotlib scatter plot: roughly 250× faster to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generate, it preserves density where a scatter plot saturates to solid colour, and it has no axes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or anti-aliasing for the network to latch onto. Then the log(1+x) scaling, and why: cluster centres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get far more hits than the noise tails, which would otherwise round to zero and vanish.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3.6 The five classifiers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short paragraph per model family. For the CNN give the layer stack (three Conv3×3 → BatchNorm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→ ReLU → MaxPool blocks at 16/32/64 channels, dropout, two dense layers) and explain why it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flattens rather than using global average pooling — the geometric ARRANGEMENT of clusters is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signal. Note that the 1-D model makes the opposite choice for the opposite reason.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3.7 Experimental protocol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split is 70/15/15, stratified on (format, OSNR) so all 105 cells are divided identically.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three sets and not two: validation decides when to stop, so it is no longer a neutral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judge; test is touched once. Mention the three seeds (42, 43, 44) and that every model sits inside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Pipeline with StandardScaler so the scaler never sees test data — a common source of leakage.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Work Done Till Date, Results and Discussion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All figures are mean ± standard deviation over three seeds. Every number in this section is generated directly from the stored results and re-derived by an automated audit.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 Main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760"/>
      </w:tblGrid>
      <w:tr>
        <w:trPr>
          <w:tblHeader/>
        </w:trPr>
        <w:tc>
          <w:tcPr>
            <w:tcW w:type="dxa" w:w="2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Input</w:t>
            </w:r>
          </w:p>
        </w:tc>
        <w:tc>
          <w:tcPr>
            <w:tcW w:type="dxa" w:w="26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Accuracy</w:t>
            </w:r>
          </w:p>
        </w:tc>
        <w:tc>
          <w:tcPr>
            <w:tcW w:type="dxa" w:w="17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Parameters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64×64 image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98.73 ± 0.12 %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285,941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93.41 ± 0.10 %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MLP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93.08 ± 0.10 %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11,013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k-NN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features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91.58 ± 0.08 %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IQ-CNN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raw I/Q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86.56 ± 4.64 %</w:t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27,781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4.1 — Test accuracy for all five classifiers on the realistic channel.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central result, in your own words. Three fundamentally different algorithms on identical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features span 1.83 points. Changing the representation to the density image gains 5.32 points —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about three times larger. Point out that the MLP, a deep network, came out BELOW the SVM,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shallow one: adding depth to the feature pipeline bought nothing at all.</w:t>
      </w:r>
    </w:p>
    <w:p>
      <w:pPr>
        <w:spacing w:after="40" w:before="200"/>
        <w:jc w:val="center"/>
      </w:pPr>
      <w:r>
        <w:drawing>
          <wp:inline distT="0" distB="0" distL="0" distR="0">
            <wp:extent cx="4191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4.1 — The algorithm effect and the representation effect, separated.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 Accuracy against OSNR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Model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OSNR for ≥95 % accuracy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OSNR for ≥99 %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CNN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 dB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SVM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14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dB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k-NN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15 dB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18 dB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4.2 — The same result expressed as an OSNR margin, which converts directly into reach or amplifier count.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the margin is the better number to quote to an optical engineer, and describe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shape of the curves: below about 9 dB the feature-based classifiers fall away while the CNN holds.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At 5 dB the information is genuinely gone — no classifier can recover what the channel destroyed.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 Generalisation to unseen OSNR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The CNN scores 97.45 ± 0.16 % on OSNR levels withheld entirely from training, a drop of only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1.27 points. State the conclusion: it learned the physics of the constellation, not the specific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noise levels it was trained on.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4.4 Robustness under channel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Trained on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CNN → severe</w:t>
            </w:r>
          </w:p>
        </w:tc>
        <w:tc>
          <w:tcPr>
            <w:tcW w:type="dxa" w:w="312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SVM → severe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Clean (AWGN only)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89.78 %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21.84 %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Realistic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91.17 %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71.98 %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Severe (matched)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97.84 %</w:t>
            </w:r>
          </w:p>
        </w:tc>
        <w:tc>
          <w:tcPr>
            <w:tcW w:type="dxa" w:w="3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94.03 %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4.3 — Train on one channel, test on another. Chance level is 20 %.</w:t>
      </w:r>
    </w:p>
    <w:p>
      <w:pPr>
        <w:spacing w:after="40" w:before="200"/>
        <w:jc w:val="center"/>
      </w:pPr>
      <w:r>
        <w:drawing>
          <wp:inline distT="0" distB="0" distL="0" distR="0">
            <wp:extent cx="4572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4.3 — Accuracy under channel mismatch.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This is the strongest result — give it room. The feature-based classifier collapses to essentially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random guessing on a channel it never saw, while the CNN degrades gracefully. Give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mechanism, not just the number: cumulants are statistics of an assumed signal model, so when the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impairments change, the learned decision boundaries stop corresponding to anything real.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Note this is a deployment claim, and that it is only measurable because the data is simulated.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4.5 Does the model know when it is failing?</w:t>
      </w:r>
    </w:p>
    <w:p>
      <w:pPr>
        <w:spacing w:after="40" w:before="200"/>
        <w:jc w:val="center"/>
      </w:pPr>
      <w:r>
        <w:drawing>
          <wp:inline distT="0" distB="0" distL="0" distR="0">
            <wp:extent cx="4572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Fig. 4.4 — Coverage and accuracy as a function of the confidence gate, under channel mismatch.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~85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Explain why this matters operationally: accuracy is visible only to the experimenter, while a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deployed monitor knows only what it predicted and how confident it was. Under mismatch the SVM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claims roughly twice the accuracy it achieves. At a 90 % confidence gate the CNN still answers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86.9 % of inputs while the SVM answers 0.2 % — a ratio of about 447×. The feature-based monitor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can be made accurate only by silencing it. Say that this interaction has not, to our knowledge,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been reported before.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4.6 Capture length and architecture ablation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~50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State the honest limit on the ablation: it used a single seed, and the non-monotonic behaviour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across widths shows run-to-run noise of the same order as the differences. The supported claim is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"capacity is not the binding constraint", NOT "this width is optimal". Over-claiming from one seed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is exactly what a reviewer catches.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4.7 Impairment tolerance, and where the feature-based model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Impairment level</w:t>
            </w:r>
          </w:p>
        </w:tc>
        <w:tc>
          <w:tcPr>
            <w:tcW w:type="dxa" w:w="298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CNN</w:t>
            </w:r>
          </w:p>
        </w:tc>
        <w:tc>
          <w:tcPr>
            <w:tcW w:type="dxa" w:w="298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SVM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I/Q gain imbalance 2.5 dB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95.48 %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20.35 %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I/Q phase skew 14°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96.35 %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20.10 %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Residual CD 150 ps/nm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54.89 %</w:t>
            </w:r>
          </w:p>
        </w:tc>
        <w:tc>
          <w:tcPr>
            <w:tcW w:type="dxa" w:w="298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80.14 %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4.5 — I/Q imbalance destroys the cumulant features, but chromatic dispersion inverts the result.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~70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Report the inversion prominently rather than burying it. At 150 ps/nm of residual chromatic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dispersion the SVM beats the CNN, 80.14 % against 54.89 %. Offer your explanation, and be clear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about how confident you are in it. Examiners mark honesty about a negative result well above a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clean story, and this is the question most likely to be asked.</w:t>
      </w:r>
    </w:p>
    <w:p>
      <w:pPr>
        <w:pStyle w:val="Heading2"/>
        <w:spacing w:after="140" w:before="2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4.8 Verification of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Check</w:t>
            </w:r>
          </w:p>
        </w:tc>
        <w:tc>
          <w:tcPr>
            <w:tcW w:type="dxa" w:w="5560"/>
            <w:shd w:fill="E8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What it establishes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Recomputed accuracy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Saved weights reloaded and accuracy recomputed from scratch: 0.986984 reported, 0.986984 recomputed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 data leakage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Train, validation and test sets share zero samples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Simulator theory check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Cumulants match exact analytic values; square formats match published constants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Noise power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Measured SNR matches target to within 0.02 dB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Stratification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Every (format, OSNR) cell split within 2 % of the intended 15 %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Shuffled-label test</w:t>
            </w:r>
          </w:p>
        </w:tc>
        <w:tc>
          <w:tcPr>
            <w:tcW w:type="dxa" w:w="5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Training on randomised labels collapses accuracy to the 20 % chance level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4.6 — Independent checks that re-derive results rather than trusting stored numbers.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 short paragraph on why the shuffled-label test matters: if a model still scores well after you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destroy the labels, there is a leak somewhere. Mention that the checks initially failed on noise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power and investigation showed the CHECK was wrong, not the data.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Future Work</w:t>
      </w:r>
    </w:p>
    <w:p>
      <w:pPr>
        <w:pBdr>
          <w:top w:val="single" w:color="E08A3C" w:sz="2"/>
          <w:bottom w:val="single" w:color="E08A3C" w:sz="2"/>
          <w:left w:val="single" w:color="E08A3C" w:sz="12"/>
          <w:right w:val="single" w:color="E08A3C" w:sz="2"/>
        </w:pBdr>
        <w:shd w:fill="FFF3E0" w:val="clear"/>
        <w:spacing w:after="200" w:before="60" w:line="276"/>
        <w:ind w:left="140" w:right="140"/>
      </w:pPr>
      <w:r>
        <w:rPr>
          <w:rFonts w:ascii="Calibri" w:cs="Calibri" w:eastAsia="Calibri" w:hAnsi="Calibri"/>
          <w:b/>
          <w:bCs/>
          <w:color w:val="8A4A12"/>
          <w:sz w:val="19"/>
          <w:szCs w:val="19"/>
        </w:rPr>
        <w:t xml:space="preserve">WRITE THIS YOURSELF  ~45 words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Opening sentence or two framing what remains. Then take the items below in order — they are</w:t>
      </w:r>
      <w:r>
        <w:rPr>
          <w:rFonts w:ascii="Calibri" w:cs="Calibri" w:eastAsia="Calibri" w:hAnsi="Calibri"/>
          <w:color w:val="5B3A16"/>
          <w:sz w:val="19"/>
          <w:szCs w:val="19"/>
        </w:rPr>
        <w:br/>
        <w:t xml:space="preserve">arranged strongest first. Write each as two or three sentences, not as a bare list.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Experimental validation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Replace simulated captures with measurements from a real coherent testbed. Data-request emails to research groups holding such data are drafted. This is the honest answer to the project's single largest limitation.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Polarisation-multiplexed signals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Commercial long-haul systems send two independent signals on orthogonal polarisations; the present model uses one. Extending to dual polarisation doubles the observable structure and is closer to deployment.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Fibre nonlinearity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channel modelled here is linear. Nonlinear noise is not Gaussian, so cumulant-based features would behave differently — and the robustness result predicts feature-based models would suffer more. That is a testable prediction, which makes it a strong candidate for the next phase.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Joint OSNR estimation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same constellation image that identifies the format also carries OSNR information. This experiment was scoped and deliberately deferred; it is a natural extension.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More formats and other symbol rates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deployed system may need more than five formats, and accuracy typically falls as classes are added. Everything here runs at 32 GBaud; transfer to other rates is untested.</w:t>
      </w:r>
    </w:p>
    <w:p>
      <w:pPr>
        <w:spacing w:after="40" w:before="1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Explaining the dispersion inversion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Our own negative result — the SVM outperforming the CNN under residual chromatic dispersion — is not yet explained. Understanding it may point to a hybrid representation.</w:t>
      </w:r>
    </w:p>
    <w:p>
      <w:pPr>
        <w:pStyle w:val="Heading1"/>
        <w:spacing w:after="140" w:before="36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References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All sixteen references were verified against publisher records on 23 September 2026.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[1]	F. N. Khan, Q. Fan, C. Lu and A. P. T. Lau, "An optical communication's perspective on machine learning and its applications," J. Lightw. Technol., vol. 37, no. 2, pp. 493–516, 2019.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[2]	A. Swami and B. M. Sadler, "Hierarchical digital modulation classification using cumulants," IEEE Trans. Commun., vol. 48, no. 3, pp. 416–429, 2000.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[3]	O. A. Dobre, A. Abdi, Y. Bar-Ness and W. Su, "Survey of automatic modulation classification techniques: classical approaches and new trends," IET Commun., vol. 1, no. 2, pp. 137–156, 2007.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[4]	D. Wang et al., "Intelligent constellation diagram analyzer using convolutional neural network-based deep learning," Opt. Express, vol. 25, no. 15, pp. 17150–17166, 2017.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[5]	F. N. Khan, K. Zhong, W. H. Al-Arashi, C. Yu, C. Lu and A. P. T. Lau, "Modulation format identification in coherent receivers using deep machine learning," IEEE Photon. Technol. Lett., vol. 28, no. 17, pp. 1886–1889, 2016.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[6]	T. J. O'Shea, J. Corgan and T. C. Clancy, "Convolutional radio modulation recognition networks," in Engineering Applications of Neural Networks (EANN 2016), CCIS vol. 629, Cham: Springer, 2016, pp. 213–226.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[7]	Z. Ge, H. Jiang, Y. Guo and J. Zhou, "Accuracy analysis of feature-based automatic modulation classification via deep neural network," Sensors, vol. 21, no. 24, art. 8252, 2021.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[8]	Z. Huang et al., "Modulation format identification based on signal constellation diagrams and support vector machine," Photonics, vol. 9, no. 12, art. 927, 2022.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[9]	X. Tian et al., "A survey on deep learning enabled automatic modulation classification methods: data representations, model structures, and regularization techniques," Signal Processing, vol. 242, art. 110444, 2026.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[10]	H. Yang and R. Sahay, "An uncertainty quantification framework for deep learning-based automatic modulation classification," arXiv preprint arXiv:2503.04142, 2025.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[11]	F. N. Khan, K. Zhong, X. Zhou, W. H. Al-Arashi et al., "Joint OSNR monitoring and modulation format identification in digital coherent receivers using deep neural networks," Opt. Express, vol. 25, no. 15, p. 17767, 2017.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[12]	H. Xu, L. Yang, X. Yu, Z. Zheng et al., "Blind and low-complexity modulation format identification scheme using principal component analysis of Stokes parameters for elastic optical networks," Opt. Express, vol. 28, no. 14, p. 20249, 2020.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[13]	J. Jiang, Q. Zhang, X. Xin, R. Gao et al., "Blind modulation format identification based on principal component analysis and singular value decomposition," Electronics, vol. 11, no. 4, art. 612, 2022.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[14]	S. Zhang, Y. Peng, Q. Sui, J. Li et al., "Modulation format identification in heterogeneous fiber-optic networks using artificial neural networks and genetic algorithms," Photonic Netw. Commun., vol. 32, no. 2, pp. 246–252, 2016.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[15]	T. Wang and X. Liu, "A novel modulation format identification based on amplitude histogram space," Front. Optoelectron., vol. 12, no. 2, pp. 190–196, 2019.</w:t>
      </w:r>
    </w:p>
    <w:p>
      <w:pPr>
        <w:spacing w:after="60" w:line="252"/>
        <w:ind w:left="460" w:hanging="46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[16]	M. Leblebici, A. Çalhan and M. Cicioğlu, "Deep learning-based modulation recognition with constellation diagram: a case study," Phys. Commun., vol. 63, art. 102285, 2024.</w:t>
      </w:r>
    </w:p>
    <w:p>
      <w:pPr>
        <w:spacing w:after="120" w:before="200" w:line="360"/>
        <w:jc w:val="both"/>
      </w:pPr>
      <w:r>
        <w:rPr>
          <w:rFonts w:ascii="Times New Roman" w:cs="Times New Roman" w:eastAsia="Times New Roman" w:hAnsi="Times New Roman"/>
          <w:i/>
          <w:iCs/>
          <w:color w:val="B04A00"/>
          <w:sz w:val="24"/>
          <w:szCs w:val="24"/>
        </w:rPr>
        <w:t xml:space="preserve">Reference [15]: confirm the issue year before submission. Crossref records the online-first date as June 2018, but volume 12 belongs to the 2019 volume year. Cite the issue year, not the online date.</w:t>
      </w:r>
    </w:p>
    <w:sectPr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df9e331c5e367915193f466f886c5dae0202b61.png"/><Relationship Id="rId9" Type="http://schemas.openxmlformats.org/officeDocument/2006/relationships/image" Target="media/c2da5f6edf173f68c094d88b7144c287b379138f.png"/><Relationship Id="rId10" Type="http://schemas.openxmlformats.org/officeDocument/2006/relationships/image" Target="media/a309ac0cacc7d0332cbcfd419de4499498de93c2.png"/><Relationship Id="rId11" Type="http://schemas.openxmlformats.org/officeDocument/2006/relationships/image" Target="media/fccff12972b4fca7777b3e2e08f60e425baa604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2026-09-24T01:04:22.141Z</dcterms:created>
  <dcterms:modified xsi:type="dcterms:W3CDTF">2026-09-24T01:04:22.142Z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