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Times New Roman" w:cs="Times New Roman" w:eastAsia="Times New Roman" w:hAnsi="Times New Roman"/>
          <w:b/>
          <w:bCs/>
          <w:sz w:val="26"/>
          <w:szCs w:val="26"/>
        </w:rPr>
        <w:t xml:space="preserve">MID-SEMESTER PROGRESS REPORT</w:t>
      </w:r>
    </w:p>
    <w:p>
      <w:pPr>
        <w:spacing w:after="700" w:before="100"/>
        <w:jc w:val="center"/>
      </w:pPr>
      <w:r>
        <w:rPr>
          <w:rFonts w:ascii="Times New Roman" w:cs="Times New Roman" w:eastAsia="Times New Roman" w:hAnsi="Times New Roman"/>
          <w:sz w:val="24"/>
          <w:szCs w:val="24"/>
        </w:rPr>
        <w:t xml:space="preserve">B. Tech. Project</w:t>
      </w:r>
    </w:p>
    <w:p>
      <w:pPr>
        <w:spacing w:after="160"/>
        <w:jc w:val="center"/>
      </w:pPr>
      <w:r>
        <w:rPr>
          <w:rFonts w:ascii="Times New Roman" w:cs="Times New Roman" w:eastAsia="Times New Roman" w:hAnsi="Times New Roman"/>
          <w:b/>
          <w:bCs/>
          <w:sz w:val="34"/>
          <w:szCs w:val="34"/>
        </w:rPr>
        <w:t xml:space="preserve">Input Representation Dominates Model Choice in</w:t>
      </w:r>
    </w:p>
    <w:p>
      <w:pPr>
        <w:spacing w:after="700"/>
        <w:jc w:val="center"/>
      </w:pPr>
      <w:r>
        <w:rPr>
          <w:rFonts w:ascii="Times New Roman" w:cs="Times New Roman" w:eastAsia="Times New Roman" w:hAnsi="Times New Roman"/>
          <w:b/>
          <w:bCs/>
          <w:sz w:val="34"/>
          <w:szCs w:val="34"/>
        </w:rPr>
        <w:t xml:space="preserve">Machine-Learning Modulation Format Identification</w:t>
      </w:r>
    </w:p>
    <w:p>
      <w:pPr>
        <w:spacing w:after="200" w:before="0" w:line="360"/>
        <w:jc w:val="center"/>
      </w:pPr>
      <w:r>
        <w:rPr>
          <w:rFonts w:ascii="Times New Roman" w:cs="Times New Roman" w:eastAsia="Times New Roman" w:hAnsi="Times New Roman"/>
          <w:sz w:val="24"/>
          <w:szCs w:val="24"/>
        </w:rPr>
        <w:t xml:space="preserve">Submitted by</w:t>
      </w:r>
    </w:p>
    <w:p>
      <w:pPr>
        <w:spacing w:after="60"/>
        <w:jc w:val="center"/>
      </w:pPr>
      <w:r>
        <w:rPr>
          <w:rFonts w:ascii="Times New Roman" w:cs="Times New Roman" w:eastAsia="Times New Roman" w:hAnsi="Times New Roman"/>
          <w:b/>
          <w:bCs/>
          <w:sz w:val="26"/>
          <w:szCs w:val="26"/>
        </w:rPr>
        <w:t xml:space="preserve">Nitesh Kumar Yadav</w:t>
      </w:r>
      <w:r>
        <w:rPr>
          <w:rFonts w:ascii="Times New Roman" w:cs="Times New Roman" w:eastAsia="Times New Roman" w:hAnsi="Times New Roman"/>
          <w:sz w:val="22"/>
          <w:szCs w:val="22"/>
        </w:rPr>
        <w:t xml:space="preserve">   (Roll No. 2023UEA7232)</w:t>
      </w:r>
    </w:p>
    <w:p>
      <w:pPr>
        <w:spacing w:after="60"/>
        <w:jc w:val="center"/>
      </w:pPr>
      <w:r>
        <w:rPr>
          <w:rFonts w:ascii="Times New Roman" w:cs="Times New Roman" w:eastAsia="Times New Roman" w:hAnsi="Times New Roman"/>
          <w:b/>
          <w:bCs/>
          <w:sz w:val="26"/>
          <w:szCs w:val="26"/>
        </w:rPr>
        <w:t xml:space="preserve">Yash Mittal</w:t>
      </w:r>
      <w:r>
        <w:rPr>
          <w:rFonts w:ascii="Times New Roman" w:cs="Times New Roman" w:eastAsia="Times New Roman" w:hAnsi="Times New Roman"/>
          <w:sz w:val="22"/>
          <w:szCs w:val="22"/>
        </w:rPr>
        <w:t xml:space="preserve">   (Roll No. 2023UEA7225)</w:t>
      </w:r>
    </w:p>
    <w:p>
      <w:pPr>
        <w:spacing w:after="560"/>
        <w:jc w:val="center"/>
      </w:pPr>
      <w:r>
        <w:rPr>
          <w:rFonts w:ascii="Times New Roman" w:cs="Times New Roman" w:eastAsia="Times New Roman" w:hAnsi="Times New Roman"/>
          <w:b/>
          <w:bCs/>
          <w:sz w:val="26"/>
          <w:szCs w:val="26"/>
        </w:rPr>
        <w:t xml:space="preserve">Sajan</w:t>
      </w:r>
      <w:r>
        <w:rPr>
          <w:rFonts w:ascii="Times New Roman" w:cs="Times New Roman" w:eastAsia="Times New Roman" w:hAnsi="Times New Roman"/>
          <w:sz w:val="22"/>
          <w:szCs w:val="22"/>
        </w:rPr>
        <w:t xml:space="preserve">   (Roll No. 2023UEA6603)</w:t>
      </w:r>
    </w:p>
    <w:p>
      <w:pPr>
        <w:spacing w:after="120" w:before="0" w:line="360"/>
        <w:jc w:val="center"/>
      </w:pPr>
      <w:r>
        <w:rPr>
          <w:rFonts w:ascii="Times New Roman" w:cs="Times New Roman" w:eastAsia="Times New Roman" w:hAnsi="Times New Roman"/>
          <w:sz w:val="24"/>
          <w:szCs w:val="24"/>
        </w:rPr>
        <w:t xml:space="preserve">Under the supervision of</w:t>
      </w:r>
    </w:p>
    <w:p>
      <w:pPr>
        <w:spacing w:after="620"/>
        <w:jc w:val="center"/>
      </w:pPr>
      <w:r>
        <w:rPr>
          <w:rFonts w:ascii="Times New Roman" w:cs="Times New Roman" w:eastAsia="Times New Roman" w:hAnsi="Times New Roman"/>
          <w:b/>
          <w:bCs/>
          <w:sz w:val="26"/>
          <w:szCs w:val="26"/>
        </w:rPr>
        <w:t xml:space="preserve">Dr. Manisha Khulbe</w:t>
      </w:r>
    </w:p>
    <w:p>
      <w:pPr>
        <w:spacing w:after="60" w:before="0" w:line="360"/>
        <w:jc w:val="center"/>
      </w:pPr>
      <w:r>
        <w:rPr>
          <w:rFonts w:ascii="Times New Roman" w:cs="Times New Roman" w:eastAsia="Times New Roman" w:hAnsi="Times New Roman"/>
          <w:b/>
          <w:bCs/>
          <w:sz w:val="24"/>
          <w:szCs w:val="24"/>
        </w:rPr>
        <w:t xml:space="preserve">Department of Electronics and Communication Engineering</w:t>
      </w:r>
    </w:p>
    <w:p>
      <w:pPr>
        <w:spacing w:after="60" w:before="0" w:line="360"/>
        <w:jc w:val="center"/>
      </w:pPr>
      <w:r>
        <w:rPr>
          <w:rFonts w:ascii="Times New Roman" w:cs="Times New Roman" w:eastAsia="Times New Roman" w:hAnsi="Times New Roman"/>
          <w:b/>
          <w:bCs/>
          <w:sz w:val="24"/>
          <w:szCs w:val="24"/>
        </w:rPr>
        <w:t xml:space="preserve">Netaji Subhas University of Technology, East Campus</w:t>
      </w:r>
    </w:p>
    <w:p>
      <w:pPr>
        <w:spacing w:after="400" w:before="0" w:line="360"/>
        <w:jc w:val="center"/>
      </w:pPr>
      <w:r>
        <w:rPr>
          <w:rFonts w:ascii="Times New Roman" w:cs="Times New Roman" w:eastAsia="Times New Roman" w:hAnsi="Times New Roman"/>
          <w:sz w:val="24"/>
          <w:szCs w:val="24"/>
        </w:rPr>
        <w:t xml:space="preserve">Geeta Colony, New Delhi - 110031</w:t>
      </w:r>
    </w:p>
    <w:p>
      <w:pPr>
        <w:spacing w:after="0" w:before="0" w:line="360"/>
        <w:jc w:val="center"/>
      </w:pPr>
      <w:r>
        <w:rPr>
          <w:rFonts w:ascii="Times New Roman" w:cs="Times New Roman" w:eastAsia="Times New Roman" w:hAnsi="Times New Roman"/>
          <w:sz w:val="24"/>
          <w:szCs w:val="24"/>
        </w:rPr>
        <w:t xml:space="preserve">September 2026</w:t>
      </w:r>
    </w:p>
    <w:p>
      <w:r>
        <w:br w:type="page"/>
      </w:r>
    </w:p>
    <w:p>
      <w:pPr>
        <w:pStyle w:val="Heading1"/>
        <w:spacing w:after="140" w:before="360"/>
      </w:pPr>
      <w:r>
        <w:rPr>
          <w:rFonts w:ascii="Times New Roman" w:cs="Times New Roman" w:eastAsia="Times New Roman" w:hAnsi="Times New Roman"/>
          <w:b/>
          <w:bCs/>
          <w:color w:val="000000"/>
          <w:sz w:val="30"/>
          <w:szCs w:val="30"/>
        </w:rPr>
        <w:t xml:space="preserve">Certificate and Declaration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One short paragraph. State that this report presents the work carried out by the three of you,</w:t>
      </w:r>
      <w:r>
        <w:rPr>
          <w:rFonts w:ascii="Calibri" w:cs="Calibri" w:eastAsia="Calibri" w:hAnsi="Calibri"/>
          <w:color w:val="5B3A16"/>
          <w:sz w:val="19"/>
          <w:szCs w:val="19"/>
        </w:rPr>
        <w:br/>
        <w:t xml:space="preserve">that it has not been submitted elsewhere, and that sources are acknowledged. Then a second</w:t>
      </w:r>
      <w:r>
        <w:rPr>
          <w:rFonts w:ascii="Calibri" w:cs="Calibri" w:eastAsia="Calibri" w:hAnsi="Calibri"/>
          <w:color w:val="5B3A16"/>
          <w:sz w:val="19"/>
          <w:szCs w:val="19"/>
        </w:rPr>
        <w:br/>
        <w:t xml:space="preserve">sentence from the supervisor certifying the work was done under their supervision.</w:t>
      </w:r>
      <w:r>
        <w:rPr>
          <w:rFonts w:ascii="Calibri" w:cs="Calibri" w:eastAsia="Calibri" w:hAnsi="Calibri"/>
          <w:color w:val="5B3A16"/>
          <w:sz w:val="19"/>
          <w:szCs w:val="19"/>
        </w:rPr>
        <w:br/>
        <w:t xml:space="preserve">Check whether your department has a prescribed wording — if it does, use theirs instead.</w:t>
      </w:r>
    </w:p>
    <w:p>
      <w:pPr>
        <w:spacing w:after="120" w:before="200" w:line="360"/>
        <w:jc w:val="both"/>
      </w:pPr>
      <w:r>
        <w:rPr>
          <w:rFonts w:ascii="Times New Roman" w:cs="Times New Roman" w:eastAsia="Times New Roman" w:hAnsi="Times New Roman"/>
          <w:sz w:val="24"/>
          <w:szCs w:val="24"/>
        </w:rPr>
        <w:t xml:space="preserve">The Turnitin similarity report for this document is attached. Plagiarism: ______ %.  AI-generated content: ______ %.</w:t>
      </w:r>
    </w:p>
    <w:p>
      <w:pPr>
        <w:spacing w:after="0" w:before="400" w:line="360"/>
        <w:jc w:val="both"/>
      </w:pPr>
      <w:r>
        <w:rPr>
          <w:rFonts w:ascii="Times New Roman" w:cs="Times New Roman" w:eastAsia="Times New Roman" w:hAnsi="Times New Roman"/>
          <w:b/>
          <w:bCs/>
          <w:sz w:val="24"/>
          <w:szCs w:val="24"/>
        </w:rPr>
        <w:t xml:space="preserve">Signatures of all students</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Nitesh Kumar Yadav</w:t>
      </w:r>
      <w:r>
        <w:rPr>
          <w:rFonts w:ascii="Times New Roman" w:cs="Times New Roman" w:eastAsia="Times New Roman" w:hAnsi="Times New Roman"/>
          <w:sz w:val="21"/>
          <w:szCs w:val="21"/>
        </w:rPr>
        <w:t xml:space="preserve">	Yash Mittal</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Sajan</w:t>
      </w:r>
      <w:r>
        <w:rPr>
          <w:rFonts w:ascii="Times New Roman" w:cs="Times New Roman" w:eastAsia="Times New Roman" w:hAnsi="Times New Roman"/>
          <w:sz w:val="21"/>
          <w:szCs w:val="21"/>
        </w:rPr>
        <w:t xml:space="preserve">	Date</w:t>
      </w:r>
    </w:p>
    <w:p>
      <w:pPr>
        <w:spacing w:after="0" w:before="520" w:line="360"/>
        <w:jc w:val="both"/>
      </w:pPr>
      <w:r>
        <w:rPr>
          <w:rFonts w:ascii="Times New Roman" w:cs="Times New Roman" w:eastAsia="Times New Roman" w:hAnsi="Times New Roman"/>
          <w:b/>
          <w:bCs/>
          <w:sz w:val="24"/>
          <w:szCs w:val="24"/>
        </w:rPr>
        <w:t xml:space="preserve">Signature of the supervisor</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Dr. Manisha Khulbe  (Supervisor)</w:t>
      </w:r>
      <w:r>
        <w:rPr>
          <w:rFonts w:ascii="Times New Roman" w:cs="Times New Roman" w:eastAsia="Times New Roman" w:hAnsi="Times New Roman"/>
          <w:sz w:val="21"/>
          <w:szCs w:val="21"/>
        </w:rPr>
        <w:t xml:space="preserve">	Date</w:t>
      </w:r>
    </w:p>
    <w:p>
      <w:r>
        <w:br w:type="page"/>
      </w:r>
    </w:p>
    <w:p>
      <w:pPr>
        <w:pStyle w:val="Heading1"/>
        <w:spacing w:after="140" w:before="360"/>
      </w:pPr>
      <w:r>
        <w:rPr>
          <w:rFonts w:ascii="Times New Roman" w:cs="Times New Roman" w:eastAsia="Times New Roman" w:hAnsi="Times New Roman"/>
          <w:b/>
          <w:bCs/>
          <w:color w:val="000000"/>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Times New Roman" w:cs="Times New Roman" w:eastAsia="Times New Roman" w:hAnsi="Times New Roman"/>
          <w:b/>
          <w:bCs/>
          <w:color w:val="000000"/>
          <w:sz w:val="30"/>
          <w:szCs w:val="30"/>
        </w:rPr>
        <w:t xml:space="preserve">1. Introduction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1 — Optical fibre carries the internet. Data is sent as light; to send more than one bit per</w:t>
      </w:r>
      <w:r>
        <w:rPr>
          <w:rFonts w:ascii="Calibri" w:cs="Calibri" w:eastAsia="Calibri" w:hAnsi="Calibri"/>
          <w:color w:val="5B3A16"/>
          <w:sz w:val="19"/>
          <w:szCs w:val="19"/>
        </w:rPr>
        <w:br/>
        <w:t xml:space="preserve">pulse the transmitter varies both amplitude and phase. Define "symbol" and "modulation format"</w:t>
      </w:r>
      <w:r>
        <w:rPr>
          <w:rFonts w:ascii="Calibri" w:cs="Calibri" w:eastAsia="Calibri" w:hAnsi="Calibri"/>
          <w:color w:val="5B3A16"/>
          <w:sz w:val="19"/>
          <w:szCs w:val="19"/>
        </w:rPr>
        <w:br/>
        <w:t xml:space="preserve">here; the committee may not be optical specialists.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2 — Elastic optical networks change format dynamically: 64-QAM on a short clean link,</w:t>
      </w:r>
      <w:r>
        <w:rPr>
          <w:rFonts w:ascii="Calibri" w:cs="Calibri" w:eastAsia="Calibri" w:hAnsi="Calibri"/>
          <w:color w:val="5B3A16"/>
          <w:sz w:val="19"/>
          <w:szCs w:val="19"/>
        </w:rPr>
        <w:br/>
        <w:t xml:space="preserve">QPSK on a long noisy one. State the consequence plainly: the receiver cannot demodulate</w:t>
      </w:r>
      <w:r>
        <w:rPr>
          <w:rFonts w:ascii="Calibri" w:cs="Calibri" w:eastAsia="Calibri" w:hAnsi="Calibri"/>
          <w:color w:val="5B3A16"/>
          <w:sz w:val="19"/>
          <w:szCs w:val="19"/>
        </w:rPr>
        <w:br/>
        <w:t xml:space="preserve">anything until it knows which format arrived.</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3 — That is what modulation format identification (MFI) solves: infer the format from the</w:t>
      </w:r>
      <w:r>
        <w:rPr>
          <w:rFonts w:ascii="Calibri" w:cs="Calibri" w:eastAsia="Calibri" w:hAnsi="Calibri"/>
          <w:color w:val="5B3A16"/>
          <w:sz w:val="19"/>
          <w:szCs w:val="19"/>
        </w:rPr>
        <w:br/>
        <w:t xml:space="preserve">signal itself, with no control channel. Place it inside optical performance monitoring (OPM).</w:t>
      </w:r>
    </w:p>
    <w:p>
      <w:pPr>
        <w:pStyle w:val="Heading2"/>
        <w:spacing w:after="140" w:before="260"/>
      </w:pPr>
      <w:r>
        <w:rPr>
          <w:rFonts w:ascii="Times New Roman" w:cs="Times New Roman" w:eastAsia="Times New Roman" w:hAnsi="Times New Roman"/>
          <w:b/>
          <w:bCs/>
          <w:color w:val="000000"/>
          <w:sz w:val="26"/>
          <w:szCs w:val="26"/>
        </w:rPr>
        <w:t xml:space="preserve">1.1 The five modulation formats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900"/>
        <w:gridCol w:w="3860"/>
      </w:tblGrid>
      <w:tr>
        <w:trPr>
          <w:tblHeader/>
        </w:trPr>
        <w:tc>
          <w:tcPr>
            <w:tcW w:type="dxa" w:w="21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Format</w:t>
            </w:r>
          </w:p>
        </w:tc>
        <w:tc>
          <w:tcPr>
            <w:tcW w:type="dxa" w:w="150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Points</w:t>
            </w:r>
          </w:p>
        </w:tc>
        <w:tc>
          <w:tcPr>
            <w:tcW w:type="dxa" w:w="190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Bits/symbol</w:t>
            </w:r>
          </w:p>
        </w:tc>
        <w:tc>
          <w:tcPr>
            <w:tcW w:type="dxa" w:w="38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Shape on the I–Q plane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QPSK</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4</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2</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2×2 square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8</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3</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Star — 4 inner + 4 outer, rotated 45°</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16-QAM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16</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4</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4×4 square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32-QAM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32</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5</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Cross — 6×6 grid minus the 4 corners</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64</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6</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8×8 square</w:t>
            </w:r>
          </w:p>
        </w:tc>
      </w:tr>
    </w:tbl>
    <w:p>
      <w:pPr>
        <w:spacing w:after="160" w:before="80"/>
        <w:jc w:val="center"/>
      </w:pPr>
      <w:r>
        <w:rPr>
          <w:rFonts w:ascii="Times New Roman" w:cs="Times New Roman" w:eastAsia="Times New Roman" w:hAnsi="Times New Roman"/>
          <w:i/>
          <w:iCs/>
          <w:sz w:val="20"/>
          <w:szCs w:val="20"/>
        </w:rPr>
        <w:t xml:space="preserve">Table 1.1 — The five formats. Two are deliberately non-square, so a classifier cannot succeed by measuring grid density alone.</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One paragraph on the fundamental trade-off: more points carry more bits per symbol, but sit</w:t>
      </w:r>
      <w:r>
        <w:rPr>
          <w:rFonts w:ascii="Calibri" w:cs="Calibri" w:eastAsia="Calibri" w:hAnsi="Calibri"/>
          <w:color w:val="5B3A16"/>
          <w:sz w:val="19"/>
          <w:szCs w:val="19"/>
        </w:rPr>
        <w:br/>
        <w:t xml:space="preserve">closer together, so less noise is needed to push a received point into its neighbour's region.</w:t>
      </w:r>
      <w:r>
        <w:rPr>
          <w:rFonts w:ascii="Calibri" w:cs="Calibri" w:eastAsia="Calibri" w:hAnsi="Calibri"/>
          <w:color w:val="5B3A16"/>
          <w:sz w:val="19"/>
          <w:szCs w:val="19"/>
        </w:rPr>
        <w:br/>
        <w:t xml:space="preserve">Say that this tension drives every design decision in the project.</w:t>
      </w:r>
    </w:p>
    <w:p>
      <w:pPr>
        <w:spacing w:after="40" w:before="200"/>
        <w:jc w:val="center"/>
      </w:pPr>
      <w:r>
        <w:drawing>
          <wp:inline distT="0" distB="0" distL="0" distR="0">
            <wp:extent cx="2857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971800"/>
                    </a:xfrm>
                    <a:prstGeom prst="rect">
                      <a:avLst/>
                    </a:prstGeom>
                  </pic:spPr>
                </pic:pic>
              </a:graphicData>
            </a:graphic>
          </wp:inline>
        </w:drawing>
      </w:r>
    </w:p>
    <w:p>
      <w:pPr>
        <w:spacing w:after="160" w:before="80"/>
        <w:jc w:val="center"/>
      </w:pPr>
      <w:r>
        <w:rPr>
          <w:rFonts w:ascii="Times New Roman" w:cs="Times New Roman" w:eastAsia="Times New Roman" w:hAnsi="Times New Roman"/>
          <w:i/>
          <w:iCs/>
          <w:sz w:val="20"/>
          <w:szCs w:val="20"/>
        </w:rPr>
        <w:t xml:space="preserve">Fig. 1.1 — Constellation diagrams for the five formats across a range of OSNR. At low OSNR the classes become visually indistinguishable.</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~60 words</w:t>
      </w:r>
      <w:r>
        <w:rPr>
          <w:rFonts w:ascii="Calibri" w:cs="Calibri" w:eastAsia="Calibri" w:hAnsi="Calibri"/>
          <w:color w:val="5B3A16"/>
          <w:sz w:val="19"/>
          <w:szCs w:val="19"/>
        </w:rPr>
        <w:br/>
        <w:t xml:space="preserve">Closing paragraph — our question and the contribution, in brief. The standard comparison in the</w:t>
      </w:r>
      <w:r>
        <w:rPr>
          <w:rFonts w:ascii="Calibri" w:cs="Calibri" w:eastAsia="Calibri" w:hAnsi="Calibri"/>
          <w:color w:val="5B3A16"/>
          <w:sz w:val="19"/>
          <w:szCs w:val="19"/>
        </w:rPr>
        <w:br/>
        <w:t xml:space="preserve">literature changes the model and the input at the same time, so it cannot say which caused the</w:t>
      </w:r>
      <w:r>
        <w:rPr>
          <w:rFonts w:ascii="Calibri" w:cs="Calibri" w:eastAsia="Calibri" w:hAnsi="Calibri"/>
          <w:color w:val="5B3A16"/>
          <w:sz w:val="19"/>
          <w:szCs w:val="19"/>
        </w:rPr>
        <w:br/>
        <w:t xml:space="preserve">gain. We add an MLP on the same 15 features to separate them. End with the headline result:</w:t>
      </w:r>
      <w:r>
        <w:rPr>
          <w:rFonts w:ascii="Calibri" w:cs="Calibri" w:eastAsia="Calibri" w:hAnsi="Calibri"/>
          <w:color w:val="5B3A16"/>
          <w:sz w:val="19"/>
          <w:szCs w:val="19"/>
        </w:rPr>
        <w:br/>
        <w:t xml:space="preserve">the representation is worth about three times what the algorithm is worth.</w:t>
      </w:r>
    </w:p>
    <w:p>
      <w:pPr>
        <w:pStyle w:val="Heading1"/>
        <w:spacing w:after="140" w:before="360"/>
      </w:pPr>
      <w:r>
        <w:rPr>
          <w:rFonts w:ascii="Times New Roman" w:cs="Times New Roman" w:eastAsia="Times New Roman" w:hAnsi="Times New Roman"/>
          <w:b/>
          <w:bCs/>
          <w:color w:val="000000"/>
          <w:sz w:val="30"/>
          <w:szCs w:val="30"/>
        </w:rPr>
        <w:t xml:space="preserve">2. Literature Survey</w:t>
      </w:r>
    </w:p>
    <w:p>
      <w:pPr>
        <w:spacing w:after="200" w:before="0" w:line="360"/>
        <w:jc w:val="both"/>
      </w:pPr>
      <w:r>
        <w:rPr>
          <w:rFonts w:ascii="Times New Roman" w:cs="Times New Roman" w:eastAsia="Times New Roman" w:hAnsi="Times New Roman"/>
          <w:i/>
          <w:iCs/>
          <w:color w:val="666666"/>
          <w:sz w:val="24"/>
          <w:szCs w:val="24"/>
        </w:rPr>
        <w:t xml:space="preserve">This section is worth marks in its own right under the evaluation scheme. Organise it by theme, and end each subsection with what that line of work leaves open.</w:t>
      </w:r>
    </w:p>
    <w:p>
      <w:pPr>
        <w:pStyle w:val="Heading2"/>
        <w:spacing w:after="140" w:before="260"/>
      </w:pPr>
      <w:r>
        <w:rPr>
          <w:rFonts w:ascii="Times New Roman" w:cs="Times New Roman" w:eastAsia="Times New Roman" w:hAnsi="Times New Roman"/>
          <w:b/>
          <w:bCs/>
          <w:color w:val="000000"/>
          <w:sz w:val="26"/>
          <w:szCs w:val="26"/>
        </w:rPr>
        <w:t xml:space="preserve">2.1 Feature-based MFI: the classical approach</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~85 words</w:t>
      </w:r>
      <w:r>
        <w:rPr>
          <w:rFonts w:ascii="Calibri" w:cs="Calibri" w:eastAsia="Calibri" w:hAnsi="Calibri"/>
          <w:color w:val="5B3A16"/>
          <w:sz w:val="19"/>
          <w:szCs w:val="19"/>
        </w:rPr>
        <w:br/>
        <w:t xml:space="preserve">Higher-order cumulants as the standard pre-deep-learning tool. Swami and Sadler [2] established</w:t>
      </w:r>
      <w:r>
        <w:rPr>
          <w:rFonts w:ascii="Calibri" w:cs="Calibri" w:eastAsia="Calibri" w:hAnsi="Calibri"/>
          <w:color w:val="5B3A16"/>
          <w:sz w:val="19"/>
          <w:szCs w:val="19"/>
        </w:rPr>
        <w:br/>
        <w:t xml:space="preserve">the hierarchical cumulant approach; Dobre et al. [3] surveyed the field. Explain WHY cumulants:</w:t>
      </w:r>
      <w:r>
        <w:rPr>
          <w:rFonts w:ascii="Calibri" w:cs="Calibri" w:eastAsia="Calibri" w:hAnsi="Calibri"/>
          <w:color w:val="5B3A16"/>
          <w:sz w:val="19"/>
          <w:szCs w:val="19"/>
        </w:rPr>
        <w:br/>
        <w:t xml:space="preserve">Gaussian noise cancels at fourth order and above, so they fingerprint the constellation robustly.</w:t>
      </w:r>
      <w:r>
        <w:rPr>
          <w:rFonts w:ascii="Calibri" w:cs="Calibri" w:eastAsia="Calibri" w:hAnsi="Calibri"/>
          <w:color w:val="5B3A16"/>
          <w:sz w:val="19"/>
          <w:szCs w:val="19"/>
        </w:rPr>
        <w:br/>
        <w:t xml:space="preserve">Close on the limitation — they are statistics of an ASSUMED signal model.</w:t>
      </w:r>
    </w:p>
    <w:p>
      <w:pPr>
        <w:pStyle w:val="Heading2"/>
        <w:spacing w:after="140" w:before="260"/>
      </w:pPr>
      <w:r>
        <w:rPr>
          <w:rFonts w:ascii="Times New Roman" w:cs="Times New Roman" w:eastAsia="Times New Roman" w:hAnsi="Times New Roman"/>
          <w:b/>
          <w:bCs/>
          <w:color w:val="000000"/>
          <w:sz w:val="26"/>
          <w:szCs w:val="26"/>
        </w:rPr>
        <w:t xml:space="preserve">2.2 Alternative hand-crafted representations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~95 words</w:t>
      </w:r>
      <w:r>
        <w:rPr>
          <w:rFonts w:ascii="Calibri" w:cs="Calibri" w:eastAsia="Calibri" w:hAnsi="Calibri"/>
          <w:color w:val="5B3A16"/>
          <w:sz w:val="19"/>
          <w:szCs w:val="19"/>
        </w:rPr>
        <w:br/>
        <w:t xml:space="preserve">Not everyone uses cumulants. Amplitude histograms (Khan et al. [5]; Wang and Liu [15]), Stokes</w:t>
      </w:r>
      <w:r>
        <w:rPr>
          <w:rFonts w:ascii="Calibri" w:cs="Calibri" w:eastAsia="Calibri" w:hAnsi="Calibri"/>
          <w:color w:val="5B3A16"/>
          <w:sz w:val="19"/>
          <w:szCs w:val="19"/>
        </w:rPr>
        <w:br/>
        <w:t xml:space="preserve">space with PCA (Xu et al. [12]; Jiang et al. [13]), and neural networks on histogram features</w:t>
      </w:r>
      <w:r>
        <w:rPr>
          <w:rFonts w:ascii="Calibri" w:cs="Calibri" w:eastAsia="Calibri" w:hAnsi="Calibri"/>
          <w:color w:val="5B3A16"/>
          <w:sz w:val="19"/>
          <w:szCs w:val="19"/>
        </w:rPr>
        <w:br/>
        <w:t xml:space="preserve">selected by genetic algorithms (Zhang et al. [14]). The point to land: the field has explored many</w:t>
      </w:r>
      <w:r>
        <w:rPr>
          <w:rFonts w:ascii="Calibri" w:cs="Calibri" w:eastAsia="Calibri" w:hAnsi="Calibri"/>
          <w:color w:val="5B3A16"/>
          <w:sz w:val="19"/>
          <w:szCs w:val="19"/>
        </w:rPr>
        <w:br/>
        <w:t xml:space="preserve">representations, but almost always changes the classifier at the same time.</w:t>
      </w:r>
    </w:p>
    <w:p>
      <w:pPr>
        <w:pStyle w:val="Heading2"/>
        <w:spacing w:after="140" w:before="260"/>
      </w:pPr>
      <w:r>
        <w:rPr>
          <w:rFonts w:ascii="Times New Roman" w:cs="Times New Roman" w:eastAsia="Times New Roman" w:hAnsi="Times New Roman"/>
          <w:b/>
          <w:bCs/>
          <w:color w:val="000000"/>
          <w:sz w:val="26"/>
          <w:szCs w:val="26"/>
        </w:rPr>
        <w:t xml:space="preserve">2.3 Deep learning on constellation images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~95 words</w:t>
      </w:r>
      <w:r>
        <w:rPr>
          <w:rFonts w:ascii="Calibri" w:cs="Calibri" w:eastAsia="Calibri" w:hAnsi="Calibri"/>
          <w:color w:val="5B3A16"/>
          <w:sz w:val="19"/>
          <w:szCs w:val="19"/>
        </w:rPr>
        <w:br/>
        <w:t xml:space="preserve">Wang et al. [4] introduced the intelligent constellation diagram analyzer. Khan et al. [11] did</w:t>
      </w:r>
      <w:r>
        <w:rPr>
          <w:rFonts w:ascii="Calibri" w:cs="Calibri" w:eastAsia="Calibri" w:hAnsi="Calibri"/>
          <w:color w:val="5B3A16"/>
          <w:sz w:val="19"/>
          <w:szCs w:val="19"/>
        </w:rPr>
        <w:br/>
        <w:t xml:space="preserve">joint OSNR monitoring and MFI with deep neural networks. Huang et al. [8] used an SVM on</w:t>
      </w:r>
      <w:r>
        <w:rPr>
          <w:rFonts w:ascii="Calibri" w:cs="Calibri" w:eastAsia="Calibri" w:hAnsi="Calibri"/>
          <w:color w:val="5B3A16"/>
          <w:sz w:val="19"/>
          <w:szCs w:val="19"/>
        </w:rPr>
        <w:br/>
        <w:t xml:space="preserve">constellation images via GLCM features — a useful midpoint between the two camps. Leblebici</w:t>
      </w:r>
      <w:r>
        <w:rPr>
          <w:rFonts w:ascii="Calibri" w:cs="Calibri" w:eastAsia="Calibri" w:hAnsi="Calibri"/>
          <w:color w:val="5B3A16"/>
          <w:sz w:val="19"/>
          <w:szCs w:val="19"/>
        </w:rPr>
        <w:br/>
        <w:t xml:space="preserve">et al. [16] is a recent CNN case study. Gap: every one of these compares a deep model on images</w:t>
      </w:r>
      <w:r>
        <w:rPr>
          <w:rFonts w:ascii="Calibri" w:cs="Calibri" w:eastAsia="Calibri" w:hAnsi="Calibri"/>
          <w:color w:val="5B3A16"/>
          <w:sz w:val="19"/>
          <w:szCs w:val="19"/>
        </w:rPr>
        <w:br/>
        <w:t xml:space="preserve">against a shallow model on features.</w:t>
      </w:r>
    </w:p>
    <w:p>
      <w:pPr>
        <w:pStyle w:val="Heading2"/>
        <w:spacing w:after="140" w:before="260"/>
      </w:pPr>
      <w:r>
        <w:rPr>
          <w:rFonts w:ascii="Times New Roman" w:cs="Times New Roman" w:eastAsia="Times New Roman" w:hAnsi="Times New Roman"/>
          <w:b/>
          <w:bCs/>
          <w:color w:val="000000"/>
          <w:sz w:val="26"/>
          <w:szCs w:val="26"/>
        </w:rPr>
        <w:t xml:space="preserve">2.4 The parallel in wireless communications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~85 words</w:t>
      </w:r>
      <w:r>
        <w:rPr>
          <w:rFonts w:ascii="Calibri" w:cs="Calibri" w:eastAsia="Calibri" w:hAnsi="Calibri"/>
          <w:color w:val="5B3A16"/>
          <w:sz w:val="19"/>
          <w:szCs w:val="19"/>
        </w:rPr>
        <w:br/>
        <w:t xml:space="preserve">O'Shea et al. [6] brought CNNs to raw I/Q in radio. Ge et al. [7] is the closest prior work to ours:</w:t>
      </w:r>
      <w:r>
        <w:rPr>
          <w:rFonts w:ascii="Calibri" w:cs="Calibri" w:eastAsia="Calibri" w:hAnsi="Calibri"/>
          <w:color w:val="5B3A16"/>
          <w:sz w:val="19"/>
          <w:szCs w:val="19"/>
        </w:rPr>
        <w:br/>
        <w:t xml:space="preserve">it analysed representation effects in WIRELESS automatic modulation classification. Tian et al. [9]</w:t>
      </w:r>
      <w:r>
        <w:rPr>
          <w:rFonts w:ascii="Calibri" w:cs="Calibri" w:eastAsia="Calibri" w:hAnsi="Calibri"/>
          <w:color w:val="5B3A16"/>
          <w:sz w:val="19"/>
          <w:szCs w:val="19"/>
        </w:rPr>
        <w:br/>
        <w:t xml:space="preserve">survey the whole deep-learning AMC field organised explicitly by data representation.</w:t>
      </w:r>
      <w:r>
        <w:rPr>
          <w:rFonts w:ascii="Calibri" w:cs="Calibri" w:eastAsia="Calibri" w:hAnsi="Calibri"/>
          <w:color w:val="5B3A16"/>
          <w:sz w:val="19"/>
          <w:szCs w:val="19"/>
        </w:rPr>
        <w:br/>
        <w:t xml:space="preserve">Be honest here — say plainly that the question has been asked in wireless. Examiners respect this.</w:t>
      </w:r>
    </w:p>
    <w:p>
      <w:pPr>
        <w:pStyle w:val="Heading2"/>
        <w:spacing w:after="140" w:before="260"/>
      </w:pPr>
      <w:r>
        <w:rPr>
          <w:rFonts w:ascii="Times New Roman" w:cs="Times New Roman" w:eastAsia="Times New Roman" w:hAnsi="Times New Roman"/>
          <w:b/>
          <w:bCs/>
          <w:color w:val="000000"/>
          <w:sz w:val="26"/>
          <w:szCs w:val="26"/>
        </w:rPr>
        <w:t xml:space="preserve">2.5 The gap this project addresses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Two or three sentences. Nobody, in the optical case, holds the input fixed while varying only the</w:t>
      </w:r>
      <w:r>
        <w:rPr>
          <w:rFonts w:ascii="Calibri" w:cs="Calibri" w:eastAsia="Calibri" w:hAnsi="Calibri"/>
          <w:color w:val="5B3A16"/>
          <w:sz w:val="19"/>
          <w:szCs w:val="19"/>
        </w:rPr>
        <w:br/>
        <w:t xml:space="preserve">algorithm AND holds the algorithm fixed while varying only the input. And nobody has asked</w:t>
      </w:r>
      <w:r>
        <w:rPr>
          <w:rFonts w:ascii="Calibri" w:cs="Calibri" w:eastAsia="Calibri" w:hAnsi="Calibri"/>
          <w:color w:val="5B3A16"/>
          <w:sz w:val="19"/>
          <w:szCs w:val="19"/>
        </w:rPr>
        <w:br/>
        <w:t xml:space="preserve">whether the representation affects a model's ability to detect its own failure — Yang and Sahay [10]</w:t>
      </w:r>
      <w:r>
        <w:rPr>
          <w:rFonts w:ascii="Calibri" w:cs="Calibri" w:eastAsia="Calibri" w:hAnsi="Calibri"/>
          <w:color w:val="5B3A16"/>
          <w:sz w:val="19"/>
          <w:szCs w:val="19"/>
        </w:rPr>
        <w:br/>
        <w:t xml:space="preserve">study uncertainty, but for a single representation.</w:t>
      </w:r>
    </w:p>
    <w:p>
      <w:pPr>
        <w:pStyle w:val="Heading1"/>
        <w:spacing w:after="140" w:before="360"/>
      </w:pPr>
      <w:r>
        <w:rPr>
          <w:rFonts w:ascii="Times New Roman" w:cs="Times New Roman" w:eastAsia="Times New Roman" w:hAnsi="Times New Roman"/>
          <w:b/>
          <w:bCs/>
          <w:color w:val="000000"/>
          <w:sz w:val="30"/>
          <w:szCs w:val="30"/>
        </w:rPr>
        <w:t xml:space="preserve">3. Problem Statement and Methodology</w:t>
      </w:r>
    </w:p>
    <w:p>
      <w:pPr>
        <w:pStyle w:val="Heading2"/>
        <w:spacing w:after="140" w:before="260"/>
      </w:pPr>
      <w:r>
        <w:rPr>
          <w:rFonts w:ascii="Times New Roman" w:cs="Times New Roman" w:eastAsia="Times New Roman" w:hAnsi="Times New Roman"/>
          <w:b/>
          <w:bCs/>
          <w:color w:val="000000"/>
          <w:sz w:val="26"/>
          <w:szCs w:val="26"/>
        </w:rPr>
        <w:t xml:space="preserve">3.1 Problem statement</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State it formally: given a capture of N symbols received by a coherent optical receiver, assign it</w:t>
      </w:r>
      <w:r>
        <w:rPr>
          <w:rFonts w:ascii="Calibri" w:cs="Calibri" w:eastAsia="Calibri" w:hAnsi="Calibri"/>
          <w:color w:val="5B3A16"/>
          <w:sz w:val="19"/>
          <w:szCs w:val="19"/>
        </w:rPr>
        <w:br/>
        <w:t xml:space="preserve">to one of five modulation formats. Then state the research question as an actual question:</w:t>
      </w:r>
      <w:r>
        <w:rPr>
          <w:rFonts w:ascii="Calibri" w:cs="Calibri" w:eastAsia="Calibri" w:hAnsi="Calibri"/>
          <w:color w:val="5B3A16"/>
          <w:sz w:val="19"/>
          <w:szCs w:val="19"/>
        </w:rPr>
        <w:br/>
        <w:t xml:space="preserve">does the gain reported for CNN-based MFI come from the model or from the input representation?</w:t>
      </w:r>
    </w:p>
    <w:p>
      <w:pPr>
        <w:pStyle w:val="Heading2"/>
        <w:spacing w:after="140" w:before="260"/>
      </w:pPr>
      <w:r>
        <w:rPr>
          <w:rFonts w:ascii="Times New Roman" w:cs="Times New Roman" w:eastAsia="Times New Roman" w:hAnsi="Times New Roman"/>
          <w:b/>
          <w:bCs/>
          <w:color w:val="000000"/>
          <w:sz w:val="26"/>
          <w:szCs w:val="26"/>
        </w:rPr>
        <w:t xml:space="preserve">3.2 Experimental design</w:t>
      </w:r>
    </w:p>
    <w:p>
      <w:pPr>
        <w:spacing w:after="160" w:before="0" w:line="360"/>
        <w:jc w:val="both"/>
      </w:pPr>
      <w:r>
        <w:rPr>
          <w:rFonts w:ascii="Times New Roman" w:cs="Times New Roman" w:eastAsia="Times New Roman" w:hAnsi="Times New Roman"/>
          <w:sz w:val="24"/>
          <w:szCs w:val="24"/>
        </w:rPr>
        <w:t xml:space="preserve">The design isolates the two variables that the literature changes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3400"/>
        <w:gridCol w:w="3400"/>
      </w:tblGrid>
      <w:tr>
        <w:trPr>
          <w:tblHeader/>
        </w:trPr>
        <w:tc>
          <w:tcPr>
            <w:tcW w:type="dxa" w:w="25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
            </w:r>
          </w:p>
        </w:tc>
        <w:tc>
          <w:tcPr>
            <w:tcW w:type="dxa" w:w="3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Shallow model</w:t>
            </w:r>
          </w:p>
        </w:tc>
        <w:tc>
          <w:tcPr>
            <w:tcW w:type="dxa" w:w="3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Deep model</w:t>
            </w:r>
          </w:p>
        </w:tc>
      </w:tr>
      <w:tr>
        <w:trPr>
          <w:tblHeader w:val="false"/>
        </w:trPr>
        <w:tc>
          <w:tcPr>
            <w:tcW w:type="dxa" w:w="2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hand-crafted features</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  k-NN</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MLP  ←  the control that is usually missing</w:t>
            </w:r>
          </w:p>
        </w:tc>
      </w:tr>
      <w:tr>
        <w:trPr>
          <w:tblHeader w:val="false"/>
        </w:trPr>
        <w:tc>
          <w:tcPr>
            <w:tcW w:type="dxa" w:w="2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64×64 constellation image</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r>
    </w:tbl>
    <w:p>
      <w:pPr>
        <w:spacing w:after="160" w:before="80"/>
        <w:jc w:val="center"/>
      </w:pPr>
      <w:r>
        <w:rPr>
          <w:rFonts w:ascii="Times New Roman" w:cs="Times New Roman" w:eastAsia="Times New Roman" w:hAnsi="Times New Roman"/>
          <w:i/>
          <w:iCs/>
          <w:sz w:val="20"/>
          <w:szCs w:val="20"/>
        </w:rPr>
        <w:t xml:space="preserve">Table 3.1 — Moving across a row changes only the algorithm. Moving down the MLP/CNN column changes only the representation.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Explain why the MLP is the critical control: it is a trained deep network that sees only the 15</w:t>
      </w:r>
      <w:r>
        <w:rPr>
          <w:rFonts w:ascii="Calibri" w:cs="Calibri" w:eastAsia="Calibri" w:hAnsi="Calibri"/>
          <w:color w:val="5B3A16"/>
          <w:sz w:val="19"/>
          <w:szCs w:val="19"/>
        </w:rPr>
        <w:br/>
        <w:t xml:space="preserve">features. If MLP ≈ SVM, the representation is what matters. If MLP ≈ CNN, the model is what</w:t>
      </w:r>
      <w:r>
        <w:rPr>
          <w:rFonts w:ascii="Calibri" w:cs="Calibri" w:eastAsia="Calibri" w:hAnsi="Calibri"/>
          <w:color w:val="5B3A16"/>
          <w:sz w:val="19"/>
          <w:szCs w:val="19"/>
        </w:rPr>
        <w:br/>
        <w:t xml:space="preserve">matters. Say explicitly that either outcome would have been a real finding — that is what makes</w:t>
      </w:r>
      <w:r>
        <w:rPr>
          <w:rFonts w:ascii="Calibri" w:cs="Calibri" w:eastAsia="Calibri" w:hAnsi="Calibri"/>
          <w:color w:val="5B3A16"/>
          <w:sz w:val="19"/>
          <w:szCs w:val="19"/>
        </w:rPr>
        <w:br/>
        <w:t xml:space="preserve">this an experiment rather than a demonstration.</w:t>
      </w:r>
    </w:p>
    <w:p>
      <w:pPr>
        <w:pStyle w:val="Heading2"/>
        <w:spacing w:after="140" w:before="260"/>
      </w:pPr>
      <w:r>
        <w:rPr>
          <w:rFonts w:ascii="Times New Roman" w:cs="Times New Roman" w:eastAsia="Times New Roman" w:hAnsi="Times New Roman"/>
          <w:b/>
          <w:bCs/>
          <w:color w:val="000000"/>
          <w:sz w:val="26"/>
          <w:szCs w:val="26"/>
        </w:rPr>
        <w:t xml:space="preserve">3.3 The optical link simulator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Justify simulation in two or three sentences: no public dataset of labelled optical constellation</w:t>
      </w:r>
      <w:r>
        <w:rPr>
          <w:rFonts w:ascii="Calibri" w:cs="Calibri" w:eastAsia="Calibri" w:hAnsi="Calibri"/>
          <w:color w:val="5B3A16"/>
          <w:sz w:val="19"/>
          <w:szCs w:val="19"/>
        </w:rPr>
        <w:br/>
        <w:t xml:space="preserve">captures exists, a physical testbed is far beyond project budget, and simulation gives exactly</w:t>
      </w:r>
      <w:r>
        <w:rPr>
          <w:rFonts w:ascii="Calibri" w:cs="Calibri" w:eastAsia="Calibri" w:hAnsi="Calibri"/>
          <w:color w:val="5B3A16"/>
          <w:sz w:val="19"/>
          <w:szCs w:val="19"/>
        </w:rPr>
        <w:br/>
        <w:t xml:space="preserve">controlled OSNR sweeps — which the central claim requires.</w:t>
      </w:r>
    </w:p>
    <w:p>
      <w:pPr>
        <w:spacing w:after="100" w:before="0" w:line="360"/>
        <w:jc w:val="both"/>
      </w:pPr>
      <w:r>
        <w:rPr>
          <w:rFonts w:ascii="Times New Roman" w:cs="Times New Roman" w:eastAsia="Times New Roman" w:hAnsi="Times New Roman"/>
          <w:sz w:val="24"/>
          <w:szCs w:val="24"/>
        </w:rPr>
        <w:t xml:space="preserve">The simulated signal chain, in order:</w:t>
      </w:r>
    </w:p>
    <w:p>
      <w:pPr>
        <w:spacing w:after="40" w:before="0" w:line="360"/>
        <w:ind w:left="460"/>
        <w:jc w:val="both"/>
      </w:pPr>
      <w:r>
        <w:rPr>
          <w:rFonts w:ascii="Times New Roman" w:cs="Times New Roman" w:eastAsia="Times New Roman" w:hAnsi="Times New Roman"/>
          <w:sz w:val="24"/>
          <w:szCs w:val="24"/>
        </w:rPr>
        <w:t xml:space="preserve">1.  Draw 4096 random symbols from the chosen format</w:t>
      </w:r>
    </w:p>
    <w:p>
      <w:pPr>
        <w:spacing w:after="40" w:before="0" w:line="360"/>
        <w:ind w:left="460"/>
        <w:jc w:val="both"/>
      </w:pPr>
      <w:r>
        <w:rPr>
          <w:rFonts w:ascii="Times New Roman" w:cs="Times New Roman" w:eastAsia="Times New Roman" w:hAnsi="Times New Roman"/>
          <w:sz w:val="24"/>
          <w:szCs w:val="24"/>
        </w:rPr>
        <w:t xml:space="preserve">2.  Residual chromatic dispersion (inter-symbol interference)</w:t>
      </w:r>
    </w:p>
    <w:p>
      <w:pPr>
        <w:spacing w:after="40" w:before="0" w:line="360"/>
        <w:ind w:left="460"/>
        <w:jc w:val="both"/>
      </w:pPr>
      <w:r>
        <w:rPr>
          <w:rFonts w:ascii="Times New Roman" w:cs="Times New Roman" w:eastAsia="Times New Roman" w:hAnsi="Times New Roman"/>
          <w:sz w:val="24"/>
          <w:szCs w:val="24"/>
        </w:rPr>
        <w:t xml:space="preserve">3.  Laser phase noise and residual frequency offset</w:t>
      </w:r>
    </w:p>
    <w:p>
      <w:pPr>
        <w:spacing w:after="40" w:before="0" w:line="360"/>
        <w:ind w:left="460"/>
        <w:jc w:val="both"/>
      </w:pPr>
      <w:r>
        <w:rPr>
          <w:rFonts w:ascii="Times New Roman" w:cs="Times New Roman" w:eastAsia="Times New Roman" w:hAnsi="Times New Roman"/>
          <w:sz w:val="24"/>
          <w:szCs w:val="24"/>
        </w:rPr>
        <w:t xml:space="preserve">4.  Carrier phase recovery over 64-symbol blocks</w:t>
      </w:r>
    </w:p>
    <w:p>
      <w:pPr>
        <w:spacing w:after="40" w:before="0" w:line="360"/>
        <w:ind w:left="460"/>
        <w:jc w:val="both"/>
      </w:pPr>
      <w:r>
        <w:rPr>
          <w:rFonts w:ascii="Times New Roman" w:cs="Times New Roman" w:eastAsia="Times New Roman" w:hAnsi="Times New Roman"/>
          <w:sz w:val="24"/>
          <w:szCs w:val="24"/>
        </w:rPr>
        <w:t xml:space="preserve">5.  I/Q gain imbalance and phase skew</w:t>
      </w:r>
    </w:p>
    <w:p>
      <w:pPr>
        <w:spacing w:after="40" w:before="0" w:line="360"/>
        <w:ind w:left="460"/>
        <w:jc w:val="both"/>
      </w:pPr>
      <w:r>
        <w:rPr>
          <w:rFonts w:ascii="Times New Roman" w:cs="Times New Roman" w:eastAsia="Times New Roman" w:hAnsi="Times New Roman"/>
          <w:sz w:val="24"/>
          <w:szCs w:val="24"/>
        </w:rPr>
        <w:t xml:space="preserve">6.  Automatic gain control — normalise to unit average power</w:t>
      </w:r>
    </w:p>
    <w:p>
      <w:pPr>
        <w:spacing w:after="40" w:before="0" w:line="360"/>
        <w:ind w:left="460"/>
        <w:jc w:val="both"/>
      </w:pPr>
      <w:r>
        <w:rPr>
          <w:rFonts w:ascii="Times New Roman" w:cs="Times New Roman" w:eastAsia="Times New Roman" w:hAnsi="Times New Roman"/>
          <w:sz w:val="24"/>
          <w:szCs w:val="24"/>
        </w:rPr>
        <w:t xml:space="preserve">7.  Additive white Gaussian noise at the target OSNR</w:t>
      </w:r>
    </w:p>
    <w:p>
      <w:pPr>
        <w:spacing w:after="100" w:before="0" w:line="360"/>
        <w:jc w:val="both"/>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Impairment</w:t>
            </w:r>
          </w:p>
        </w:tc>
        <w:tc>
          <w:tcPr>
            <w:tcW w:type="dxa" w:w="37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Physical cause</w:t>
            </w:r>
          </w:p>
        </w:tc>
        <w:tc>
          <w:tcPr>
            <w:tcW w:type="dxa" w:w="31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Effect on the constellation</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ASE noise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Spontaneous emission from the inline amplifier chain</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Every point spreads into a cloud</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Residual chromatic dispersion</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Wavelengths travel at different speeds; pulses overlap</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Points blur into each other</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Laser phase noise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Laser phase drifts as a random walk, set by linewidth</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Angular smearing into arcs</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Frequency offset</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Transmitter laser and local oscillator are separate devices</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The constellation rotates</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 imbalance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Unequal receiver arm gain; hybrid not exactly 90°</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Square grid skews to a parallelogram</w:t>
            </w:r>
          </w:p>
        </w:tc>
      </w:tr>
    </w:tbl>
    <w:p>
      <w:pPr>
        <w:spacing w:after="160" w:before="80"/>
        <w:jc w:val="center"/>
      </w:pPr>
      <w:r>
        <w:rPr>
          <w:rFonts w:ascii="Times New Roman" w:cs="Times New Roman" w:eastAsia="Times New Roman" w:hAnsi="Times New Roman"/>
          <w:i/>
          <w:iCs/>
          <w:sz w:val="20"/>
          <w:szCs w:val="20"/>
        </w:rPr>
        <w:t xml:space="preserve">Table 3.2 — The five impairments modelled. Most student projects simulate only the first row.</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Include the frequency-offset ordering problem as a short paragraph — it is a genuine finding and</w:t>
      </w:r>
      <w:r>
        <w:rPr>
          <w:rFonts w:ascii="Calibri" w:cs="Calibri" w:eastAsia="Calibri" w:hAnsi="Calibri"/>
          <w:color w:val="5B3A16"/>
          <w:sz w:val="19"/>
          <w:szCs w:val="19"/>
        </w:rPr>
        <w:br/>
        <w:t xml:space="preserve">good viva material. The offset must be applied BEFORE carrier phase recovery, because removing</w:t>
      </w:r>
      <w:r>
        <w:rPr>
          <w:rFonts w:ascii="Calibri" w:cs="Calibri" w:eastAsia="Calibri" w:hAnsi="Calibri"/>
          <w:color w:val="5B3A16"/>
          <w:sz w:val="19"/>
          <w:szCs w:val="19"/>
        </w:rPr>
        <w:br/>
        <w:t xml:space="preserve">it is one of CPE's jobs. Applied afterwards, 1 MHz of offset smeared every point into a 46° arc</w:t>
      </w:r>
      <w:r>
        <w:rPr>
          <w:rFonts w:ascii="Calibri" w:cs="Calibri" w:eastAsia="Calibri" w:hAnsi="Calibri"/>
          <w:color w:val="5B3A16"/>
          <w:sz w:val="19"/>
          <w:szCs w:val="19"/>
        </w:rPr>
        <w:br/>
        <w:t xml:space="preserve">and constellations looked destroyed even at 25 dB. Describe the fix and what it taught you.</w:t>
      </w:r>
    </w:p>
    <w:p>
      <w:pPr>
        <w:pStyle w:val="Heading2"/>
        <w:spacing w:after="140" w:before="260"/>
      </w:pPr>
      <w:r>
        <w:rPr>
          <w:rFonts w:ascii="Times New Roman" w:cs="Times New Roman" w:eastAsia="Times New Roman" w:hAnsi="Times New Roman"/>
          <w:b/>
          <w:bCs/>
          <w:color w:val="000000"/>
          <w:sz w:val="26"/>
          <w:szCs w:val="26"/>
        </w:rPr>
        <w:t xml:space="preserve">3.4 Validation of the simulator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Explain the check before the table: for a noiseless unit-power constellation the normalised</w:t>
      </w:r>
      <w:r>
        <w:rPr>
          <w:rFonts w:ascii="Calibri" w:cs="Calibri" w:eastAsia="Calibri" w:hAnsi="Calibri"/>
          <w:color w:val="5B3A16"/>
          <w:sz w:val="19"/>
          <w:szCs w:val="19"/>
        </w:rPr>
        <w:br/>
        <w:t xml:space="preserve">fourth-order cumulant is an exact finite sum over the constellation points — pure algebra, no</w:t>
      </w:r>
      <w:r>
        <w:rPr>
          <w:rFonts w:ascii="Calibri" w:cs="Calibri" w:eastAsia="Calibri" w:hAnsi="Calibri"/>
          <w:color w:val="5B3A16"/>
          <w:sz w:val="19"/>
          <w:szCs w:val="19"/>
        </w:rPr>
        <w:br/>
        <w:t xml:space="preserve">simulation. A faithful simulator must reproduce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rPr>
          <w:tblHeader/>
        </w:trPr>
        <w:tc>
          <w:tcPr>
            <w:tcW w:type="dxa" w:w="28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Format</w:t>
            </w:r>
          </w:p>
        </w:tc>
        <w:tc>
          <w:tcPr>
            <w:tcW w:type="dxa" w:w="22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Exact theory</w:t>
            </w:r>
          </w:p>
        </w:tc>
        <w:tc>
          <w:tcPr>
            <w:tcW w:type="dxa" w:w="22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Simulated</w:t>
            </w:r>
          </w:p>
        </w:tc>
        <w:tc>
          <w:tcPr>
            <w:tcW w:type="dxa" w:w="216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Error</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QPSK</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1.0000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0.9997</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0.0003</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8-QAM (star)</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1.5274</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1.5251</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0.0023</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16-QAM</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0.6800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0.6830</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0.0030</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32-QAM (cross)</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0.1900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0.1868</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0.0032</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64-QAM</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0.6190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0.6198</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0.0007</w:t>
            </w:r>
          </w:p>
        </w:tc>
      </w:tr>
    </w:tbl>
    <w:p>
      <w:pPr>
        <w:spacing w:after="160" w:before="80"/>
        <w:jc w:val="center"/>
      </w:pPr>
      <w:r>
        <w:rPr>
          <w:rFonts w:ascii="Times New Roman" w:cs="Times New Roman" w:eastAsia="Times New Roman" w:hAnsi="Times New Roman"/>
          <w:i/>
          <w:iCs/>
          <w:sz w:val="20"/>
          <w:szCs w:val="20"/>
        </w:rPr>
        <w:t xml:space="preserve">Table 3.3 — Normalised fourth-order cumulant |C40|/C21². All five formats agree with exact theory to within 0.004. The three square formats additionally match the constants published in the literature.</w:t>
      </w:r>
    </w:p>
    <w:p>
      <w:pPr>
        <w:pStyle w:val="Heading2"/>
        <w:spacing w:after="140" w:before="260"/>
      </w:pPr>
      <w:r>
        <w:rPr>
          <w:rFonts w:ascii="Times New Roman" w:cs="Times New Roman" w:eastAsia="Times New Roman" w:hAnsi="Times New Roman"/>
          <w:b/>
          <w:bCs/>
          <w:color w:val="000000"/>
          <w:sz w:val="26"/>
          <w:szCs w:val="26"/>
        </w:rPr>
        <w:t xml:space="preserve">3.5 The three representations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Representation</w:t>
            </w:r>
          </w:p>
        </w:tc>
        <w:tc>
          <w:tcPr>
            <w:tcW w:type="dxa" w:w="22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Shape</w:t>
            </w:r>
          </w:p>
        </w:tc>
        <w:tc>
          <w:tcPr>
            <w:tcW w:type="dxa" w:w="41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Human pre-processing involved</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Raw I/Q</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2 × 512</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None — the symbols as received</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Constellation image</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 × 64</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Binning into a 2-D histogram</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Statistical features</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Substantial — chosen cumulants and amplitude statistics</w:t>
            </w:r>
          </w:p>
        </w:tc>
      </w:tr>
    </w:tbl>
    <w:p>
      <w:pPr>
        <w:spacing w:after="160" w:before="80"/>
        <w:jc w:val="center"/>
      </w:pPr>
      <w:r>
        <w:rPr>
          <w:rFonts w:ascii="Times New Roman" w:cs="Times New Roman" w:eastAsia="Times New Roman" w:hAnsi="Times New Roman"/>
          <w:i/>
          <w:iCs/>
          <w:sz w:val="20"/>
          <w:szCs w:val="20"/>
        </w:rPr>
        <w:t xml:space="preserve">Table 3.4 — All three are derived from the same signal realisation, so the comparison between them is exactly fair.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~65 words</w:t>
      </w:r>
      <w:r>
        <w:rPr>
          <w:rFonts w:ascii="Calibri" w:cs="Calibri" w:eastAsia="Calibri" w:hAnsi="Calibri"/>
          <w:color w:val="5B3A16"/>
          <w:sz w:val="19"/>
          <w:szCs w:val="19"/>
        </w:rPr>
        <w:br/>
        <w:t xml:space="preserve">Explain why a 2-D histogram rather than a matplotlib scatter plot: roughly 250× faster to</w:t>
      </w:r>
      <w:r>
        <w:rPr>
          <w:rFonts w:ascii="Calibri" w:cs="Calibri" w:eastAsia="Calibri" w:hAnsi="Calibri"/>
          <w:color w:val="5B3A16"/>
          <w:sz w:val="19"/>
          <w:szCs w:val="19"/>
        </w:rPr>
        <w:br/>
        <w:t xml:space="preserve">generate, it preserves density where a scatter plot saturates to solid colour, and it has no axes</w:t>
      </w:r>
      <w:r>
        <w:rPr>
          <w:rFonts w:ascii="Calibri" w:cs="Calibri" w:eastAsia="Calibri" w:hAnsi="Calibri"/>
          <w:color w:val="5B3A16"/>
          <w:sz w:val="19"/>
          <w:szCs w:val="19"/>
        </w:rPr>
        <w:br/>
        <w:t xml:space="preserve">or anti-aliasing for the network to latch onto. Then the log(1+x) scaling, and why: cluster centres</w:t>
      </w:r>
      <w:r>
        <w:rPr>
          <w:rFonts w:ascii="Calibri" w:cs="Calibri" w:eastAsia="Calibri" w:hAnsi="Calibri"/>
          <w:color w:val="5B3A16"/>
          <w:sz w:val="19"/>
          <w:szCs w:val="19"/>
        </w:rPr>
        <w:br/>
        <w:t xml:space="preserve">get far more hits than the noise tails, which would otherwise round to zero and vanish.</w:t>
      </w:r>
    </w:p>
    <w:p>
      <w:pPr>
        <w:pStyle w:val="Heading2"/>
        <w:spacing w:after="140" w:before="260"/>
      </w:pPr>
      <w:r>
        <w:rPr>
          <w:rFonts w:ascii="Times New Roman" w:cs="Times New Roman" w:eastAsia="Times New Roman" w:hAnsi="Times New Roman"/>
          <w:b/>
          <w:bCs/>
          <w:color w:val="000000"/>
          <w:sz w:val="26"/>
          <w:szCs w:val="26"/>
        </w:rPr>
        <w:t xml:space="preserve">3.6 The five classifiers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~75 words</w:t>
      </w:r>
      <w:r>
        <w:rPr>
          <w:rFonts w:ascii="Calibri" w:cs="Calibri" w:eastAsia="Calibri" w:hAnsi="Calibri"/>
          <w:color w:val="5B3A16"/>
          <w:sz w:val="19"/>
          <w:szCs w:val="19"/>
        </w:rPr>
        <w:br/>
        <w:t xml:space="preserve">A short paragraph per model family. For the CNN give the layer stack (three Conv3×3 → BatchNorm</w:t>
      </w:r>
      <w:r>
        <w:rPr>
          <w:rFonts w:ascii="Calibri" w:cs="Calibri" w:eastAsia="Calibri" w:hAnsi="Calibri"/>
          <w:color w:val="5B3A16"/>
          <w:sz w:val="19"/>
          <w:szCs w:val="19"/>
        </w:rPr>
        <w:br/>
        <w:t xml:space="preserve">→ ReLU → MaxPool blocks at 16/32/64 channels, dropout, two dense layers) and explain why it</w:t>
      </w:r>
      <w:r>
        <w:rPr>
          <w:rFonts w:ascii="Calibri" w:cs="Calibri" w:eastAsia="Calibri" w:hAnsi="Calibri"/>
          <w:color w:val="5B3A16"/>
          <w:sz w:val="19"/>
          <w:szCs w:val="19"/>
        </w:rPr>
        <w:br/>
        <w:t xml:space="preserve">flattens rather than using global average pooling — the geometric ARRANGEMENT of clusters is</w:t>
      </w:r>
      <w:r>
        <w:rPr>
          <w:rFonts w:ascii="Calibri" w:cs="Calibri" w:eastAsia="Calibri" w:hAnsi="Calibri"/>
          <w:color w:val="5B3A16"/>
          <w:sz w:val="19"/>
          <w:szCs w:val="19"/>
        </w:rPr>
        <w:br/>
        <w:t xml:space="preserve">the signal. Note that the 1-D model makes the opposite choice for the opposite reason.</w:t>
      </w:r>
    </w:p>
    <w:p>
      <w:pPr>
        <w:pStyle w:val="Heading2"/>
        <w:spacing w:after="140" w:before="260"/>
      </w:pPr>
      <w:r>
        <w:rPr>
          <w:rFonts w:ascii="Times New Roman" w:cs="Times New Roman" w:eastAsia="Times New Roman" w:hAnsi="Times New Roman"/>
          <w:b/>
          <w:bCs/>
          <w:color w:val="000000"/>
          <w:sz w:val="26"/>
          <w:szCs w:val="26"/>
        </w:rPr>
        <w:t xml:space="preserve">3.7 Experimental protocol</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The split is 70/15/15, stratified on (format, OSNR) so all 105 cells are divided identically.</w:t>
      </w:r>
      <w:r>
        <w:rPr>
          <w:rFonts w:ascii="Calibri" w:cs="Calibri" w:eastAsia="Calibri" w:hAnsi="Calibri"/>
          <w:color w:val="5B3A16"/>
          <w:sz w:val="19"/>
          <w:szCs w:val="19"/>
        </w:rPr>
        <w:br/>
        <w:t xml:space="preserve">Explain why three sets and not two: validation decides when to stop, so it is no longer a neutral</w:t>
      </w:r>
      <w:r>
        <w:rPr>
          <w:rFonts w:ascii="Calibri" w:cs="Calibri" w:eastAsia="Calibri" w:hAnsi="Calibri"/>
          <w:color w:val="5B3A16"/>
          <w:sz w:val="19"/>
          <w:szCs w:val="19"/>
        </w:rPr>
        <w:br/>
        <w:t xml:space="preserve">judge; test is touched once. Mention the three seeds (42, 43, 44) and that every model sits inside</w:t>
      </w:r>
      <w:r>
        <w:rPr>
          <w:rFonts w:ascii="Calibri" w:cs="Calibri" w:eastAsia="Calibri" w:hAnsi="Calibri"/>
          <w:color w:val="5B3A16"/>
          <w:sz w:val="19"/>
          <w:szCs w:val="19"/>
        </w:rPr>
        <w:br/>
        <w:t xml:space="preserve">a Pipeline with StandardScaler so the scaler never sees test data — a common source of leakage.</w:t>
      </w:r>
    </w:p>
    <w:p>
      <w:pPr>
        <w:pStyle w:val="Heading1"/>
        <w:spacing w:after="140" w:before="360"/>
      </w:pPr>
      <w:r>
        <w:rPr>
          <w:rFonts w:ascii="Times New Roman" w:cs="Times New Roman" w:eastAsia="Times New Roman" w:hAnsi="Times New Roman"/>
          <w:b/>
          <w:bCs/>
          <w:color w:val="000000"/>
          <w:sz w:val="30"/>
          <w:szCs w:val="30"/>
        </w:rPr>
        <w:t xml:space="preserve">4. Work Done Till Date, Results and Discussion</w:t>
      </w:r>
    </w:p>
    <w:p>
      <w:pPr>
        <w:spacing w:after="200" w:before="0" w:line="360"/>
        <w:jc w:val="both"/>
      </w:pPr>
      <w:r>
        <w:rPr>
          <w:rFonts w:ascii="Times New Roman" w:cs="Times New Roman" w:eastAsia="Times New Roman" w:hAnsi="Times New Roman"/>
          <w:i/>
          <w:iCs/>
          <w:color w:val="666666"/>
          <w:sz w:val="24"/>
          <w:szCs w:val="24"/>
        </w:rPr>
        <w:t xml:space="preserve">All figures are mean ± standard deviation over three seeds. Every number in this section is generated directly from the stored results and re-derived by an automated audit.</w:t>
      </w:r>
    </w:p>
    <w:p>
      <w:pPr>
        <w:pStyle w:val="Heading2"/>
        <w:spacing w:after="140" w:before="260"/>
      </w:pPr>
      <w:r>
        <w:rPr>
          <w:rFonts w:ascii="Times New Roman" w:cs="Times New Roman" w:eastAsia="Times New Roman" w:hAnsi="Times New Roman"/>
          <w:b/>
          <w:bCs/>
          <w:color w:val="000000"/>
          <w:sz w:val="26"/>
          <w:szCs w:val="26"/>
        </w:rPr>
        <w:t xml:space="preserve">4.1 Main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760"/>
      </w:tblGrid>
      <w:tr>
        <w:trPr>
          <w:tblHeader/>
        </w:trPr>
        <w:tc>
          <w:tcPr>
            <w:tcW w:type="dxa" w:w="2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Model</w:t>
            </w:r>
          </w:p>
        </w:tc>
        <w:tc>
          <w:tcPr>
            <w:tcW w:type="dxa" w:w="26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Input</w:t>
            </w:r>
          </w:p>
        </w:tc>
        <w:tc>
          <w:tcPr>
            <w:tcW w:type="dxa" w:w="26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Accuracy</w:t>
            </w:r>
          </w:p>
        </w:tc>
        <w:tc>
          <w:tcPr>
            <w:tcW w:type="dxa" w:w="176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Parameters</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64×64 image</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98.73 ± 0.12 %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285,941</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93.41 ± 0.10 %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MLP</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93.08 ± 0.10 %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11,013</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k-NN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91.58 ± 0.08 %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IQ-CNN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raw I/Q</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86.56 ± 4.64 %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27,781</w:t>
            </w:r>
          </w:p>
        </w:tc>
      </w:tr>
    </w:tbl>
    <w:p>
      <w:pPr>
        <w:spacing w:after="160" w:before="80"/>
        <w:jc w:val="center"/>
      </w:pPr>
      <w:r>
        <w:rPr>
          <w:rFonts w:ascii="Times New Roman" w:cs="Times New Roman" w:eastAsia="Times New Roman" w:hAnsi="Times New Roman"/>
          <w:i/>
          <w:iCs/>
          <w:sz w:val="20"/>
          <w:szCs w:val="20"/>
        </w:rPr>
        <w:t xml:space="preserve">Table 4.1 — Test accuracy for all five classifiers on the realistic channel.</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~75 words</w:t>
      </w:r>
      <w:r>
        <w:rPr>
          <w:rFonts w:ascii="Calibri" w:cs="Calibri" w:eastAsia="Calibri" w:hAnsi="Calibri"/>
          <w:color w:val="5B3A16"/>
          <w:sz w:val="19"/>
          <w:szCs w:val="19"/>
        </w:rPr>
        <w:br/>
        <w:t xml:space="preserve">The central result, in your own words. Three fundamentally different algorithms on identical</w:t>
      </w:r>
      <w:r>
        <w:rPr>
          <w:rFonts w:ascii="Calibri" w:cs="Calibri" w:eastAsia="Calibri" w:hAnsi="Calibri"/>
          <w:color w:val="5B3A16"/>
          <w:sz w:val="19"/>
          <w:szCs w:val="19"/>
        </w:rPr>
        <w:br/>
        <w:t xml:space="preserve">features span 1.83 points. Changing the representation to the density image gains 5.32 points —</w:t>
      </w:r>
      <w:r>
        <w:rPr>
          <w:rFonts w:ascii="Calibri" w:cs="Calibri" w:eastAsia="Calibri" w:hAnsi="Calibri"/>
          <w:color w:val="5B3A16"/>
          <w:sz w:val="19"/>
          <w:szCs w:val="19"/>
        </w:rPr>
        <w:br/>
        <w:t xml:space="preserve">about three times larger. Point out that the MLP, a deep network, came out BELOW the SVM,</w:t>
      </w:r>
      <w:r>
        <w:rPr>
          <w:rFonts w:ascii="Calibri" w:cs="Calibri" w:eastAsia="Calibri" w:hAnsi="Calibri"/>
          <w:color w:val="5B3A16"/>
          <w:sz w:val="19"/>
          <w:szCs w:val="19"/>
        </w:rPr>
        <w:br/>
        <w:t xml:space="preserve">a shallow one: adding depth to the feature pipeline bought nothing at all.</w:t>
      </w:r>
    </w:p>
    <w:p>
      <w:pPr>
        <w:spacing w:after="40" w:before="200"/>
        <w:jc w:val="center"/>
      </w:pPr>
      <w:r>
        <w:drawing>
          <wp:inline distT="0" distB="0" distL="0" distR="0">
            <wp:extent cx="4191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14575"/>
                    </a:xfrm>
                    <a:prstGeom prst="rect">
                      <a:avLst/>
                    </a:prstGeom>
                  </pic:spPr>
                </pic:pic>
              </a:graphicData>
            </a:graphic>
          </wp:inline>
        </w:drawing>
      </w:r>
    </w:p>
    <w:p>
      <w:pPr>
        <w:spacing w:after="160" w:before="80"/>
        <w:jc w:val="center"/>
      </w:pPr>
      <w:r>
        <w:rPr>
          <w:rFonts w:ascii="Times New Roman" w:cs="Times New Roman" w:eastAsia="Times New Roman" w:hAnsi="Times New Roman"/>
          <w:i/>
          <w:iCs/>
          <w:sz w:val="20"/>
          <w:szCs w:val="20"/>
        </w:rPr>
        <w:t xml:space="preserve">Fig. 4.1 — The algorithm effect and the representation effect, separated.</w:t>
      </w:r>
    </w:p>
    <w:p>
      <w:pPr>
        <w:pStyle w:val="Heading2"/>
        <w:spacing w:after="140" w:before="260"/>
      </w:pPr>
      <w:r>
        <w:rPr>
          <w:rFonts w:ascii="Times New Roman" w:cs="Times New Roman" w:eastAsia="Times New Roman" w:hAnsi="Times New Roman"/>
          <w:b/>
          <w:bCs/>
          <w:color w:val="000000"/>
          <w:sz w:val="26"/>
          <w:szCs w:val="26"/>
        </w:rPr>
        <w:t xml:space="preserve">4.2 Accuracy against OSNR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Model</w:t>
            </w:r>
          </w:p>
        </w:tc>
        <w:tc>
          <w:tcPr>
            <w:tcW w:type="dxa" w:w="312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OSNR for ≥95 % accuracy</w:t>
            </w:r>
          </w:p>
        </w:tc>
        <w:tc>
          <w:tcPr>
            <w:tcW w:type="dxa" w:w="312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OSNR for ≥99 %</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7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10 dB</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14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18 dB</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k-NN</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15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18 dB</w:t>
            </w:r>
          </w:p>
        </w:tc>
      </w:tr>
    </w:tbl>
    <w:p>
      <w:pPr>
        <w:spacing w:after="160" w:before="80"/>
        <w:jc w:val="center"/>
      </w:pPr>
      <w:r>
        <w:rPr>
          <w:rFonts w:ascii="Times New Roman" w:cs="Times New Roman" w:eastAsia="Times New Roman" w:hAnsi="Times New Roman"/>
          <w:i/>
          <w:iCs/>
          <w:sz w:val="20"/>
          <w:szCs w:val="20"/>
        </w:rPr>
        <w:t xml:space="preserve">Table 4.2 — The same result expressed as an OSNR margin, which converts directly into reach or amplifier count.</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Explain why the margin is the better number to quote to an optical engineer, and describe the</w:t>
      </w:r>
      <w:r>
        <w:rPr>
          <w:rFonts w:ascii="Calibri" w:cs="Calibri" w:eastAsia="Calibri" w:hAnsi="Calibri"/>
          <w:color w:val="5B3A16"/>
          <w:sz w:val="19"/>
          <w:szCs w:val="19"/>
        </w:rPr>
        <w:br/>
        <w:t xml:space="preserve">shape of the curves: below about 9 dB the feature-based classifiers fall away while the CNN holds.</w:t>
      </w:r>
      <w:r>
        <w:rPr>
          <w:rFonts w:ascii="Calibri" w:cs="Calibri" w:eastAsia="Calibri" w:hAnsi="Calibri"/>
          <w:color w:val="5B3A16"/>
          <w:sz w:val="19"/>
          <w:szCs w:val="19"/>
        </w:rPr>
        <w:br/>
        <w:t xml:space="preserve">At 5 dB the information is genuinely gone — no classifier can recover what the channel destroyed.</w:t>
      </w:r>
    </w:p>
    <w:p>
      <w:pPr>
        <w:pStyle w:val="Heading2"/>
        <w:spacing w:after="140" w:before="260"/>
      </w:pPr>
      <w:r>
        <w:rPr>
          <w:rFonts w:ascii="Times New Roman" w:cs="Times New Roman" w:eastAsia="Times New Roman" w:hAnsi="Times New Roman"/>
          <w:b/>
          <w:bCs/>
          <w:color w:val="000000"/>
          <w:sz w:val="26"/>
          <w:szCs w:val="26"/>
        </w:rPr>
        <w:t xml:space="preserve">4.3 Generalisation to unseen OSNR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The CNN scores 97.45 ± 0.16 % on OSNR levels withheld entirely from training, a drop of only</w:t>
      </w:r>
      <w:r>
        <w:rPr>
          <w:rFonts w:ascii="Calibri" w:cs="Calibri" w:eastAsia="Calibri" w:hAnsi="Calibri"/>
          <w:color w:val="5B3A16"/>
          <w:sz w:val="19"/>
          <w:szCs w:val="19"/>
        </w:rPr>
        <w:br/>
        <w:t xml:space="preserve">1.27 points. State the conclusion: it learned the physics of the constellation, not the specific</w:t>
      </w:r>
      <w:r>
        <w:rPr>
          <w:rFonts w:ascii="Calibri" w:cs="Calibri" w:eastAsia="Calibri" w:hAnsi="Calibri"/>
          <w:color w:val="5B3A16"/>
          <w:sz w:val="19"/>
          <w:szCs w:val="19"/>
        </w:rPr>
        <w:br/>
        <w:t xml:space="preserve">noise levels it was trained on.</w:t>
      </w:r>
    </w:p>
    <w:p>
      <w:pPr>
        <w:pStyle w:val="Heading2"/>
        <w:spacing w:after="140" w:before="260"/>
      </w:pPr>
      <w:r>
        <w:rPr>
          <w:rFonts w:ascii="Times New Roman" w:cs="Times New Roman" w:eastAsia="Times New Roman" w:hAnsi="Times New Roman"/>
          <w:b/>
          <w:bCs/>
          <w:color w:val="000000"/>
          <w:sz w:val="26"/>
          <w:szCs w:val="26"/>
        </w:rPr>
        <w:t xml:space="preserve">4.4 Capture length</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One short paragraph. The CNN using only 512 symbols reaches 94.08 %, which beats the SVM</w:t>
      </w:r>
      <w:r>
        <w:rPr>
          <w:rFonts w:ascii="Calibri" w:cs="Calibri" w:eastAsia="Calibri" w:hAnsi="Calibri"/>
          <w:color w:val="5B3A16"/>
          <w:sz w:val="19"/>
          <w:szCs w:val="19"/>
        </w:rPr>
        <w:br/>
        <w:t xml:space="preserve">given the full 4096 (93.82 %). An eight-times shorter capture still wins. Say why that matters:</w:t>
      </w:r>
      <w:r>
        <w:rPr>
          <w:rFonts w:ascii="Calibri" w:cs="Calibri" w:eastAsia="Calibri" w:hAnsi="Calibri"/>
          <w:color w:val="5B3A16"/>
          <w:sz w:val="19"/>
          <w:szCs w:val="19"/>
        </w:rPr>
        <w:br/>
        <w:t xml:space="preserve">it bounds how quickly a deployed monitor could respond to a change of format.</w:t>
      </w:r>
    </w:p>
    <w:p>
      <w:pPr>
        <w:pStyle w:val="Heading2"/>
        <w:spacing w:after="140" w:before="260"/>
      </w:pPr>
      <w:r>
        <w:rPr>
          <w:rFonts w:ascii="Times New Roman" w:cs="Times New Roman" w:eastAsia="Times New Roman" w:hAnsi="Times New Roman"/>
          <w:b/>
          <w:bCs/>
          <w:color w:val="000000"/>
          <w:sz w:val="26"/>
          <w:szCs w:val="26"/>
        </w:rPr>
        <w:t xml:space="preserve">4.5 Further experiments completed, analysis in progress</w:t>
      </w:r>
    </w:p>
    <w:p>
      <w:pPr>
        <w:spacing w:after="160" w:before="0" w:line="360"/>
        <w:jc w:val="both"/>
      </w:pPr>
      <w:r>
        <w:rPr>
          <w:rFonts w:ascii="Times New Roman" w:cs="Times New Roman" w:eastAsia="Times New Roman" w:hAnsi="Times New Roman"/>
          <w:sz w:val="24"/>
          <w:szCs w:val="24"/>
        </w:rPr>
        <w:t xml:space="preserve">Four further experiments have been run to completion. Their detailed analysis and discussion is in preparation for the end-semester review; the headline outcome of each is stated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Experiment</w:t>
            </w:r>
          </w:p>
        </w:tc>
        <w:tc>
          <w:tcPr>
            <w:tcW w:type="dxa" w:w="60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Headline outcome</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Channel robustness</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Trained on a clean channel and tested on a severe one, the feature-based classifier falls to 21.84 % against a 20 % chance level, while the CNN holds 89.78 %</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Failure self-detection</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At a 90 % confidence gate the two representations differ by roughly 447 times in the fraction of inputs they can still answer</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Impairment tolerance</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 imbalance destroys the cumulant features; residual chromatic dispersion is the one case in which the feature-based model outperforms the CNN</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Architecture ablation</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Accuracy varies by only 1.26 points across a 9.2 times range in parameter count, so capacity is not the binding constraint</w:t>
            </w:r>
          </w:p>
        </w:tc>
      </w:tr>
    </w:tbl>
    <w:p>
      <w:pPr>
        <w:spacing w:after="160" w:before="80"/>
        <w:jc w:val="center"/>
      </w:pPr>
      <w:r>
        <w:rPr>
          <w:rFonts w:ascii="Times New Roman" w:cs="Times New Roman" w:eastAsia="Times New Roman" w:hAnsi="Times New Roman"/>
          <w:i/>
          <w:iCs/>
          <w:sz w:val="20"/>
          <w:szCs w:val="20"/>
        </w:rPr>
        <w:t xml:space="preserve">Table 4.4 — Experiments complete, but reserved for detailed treatment in the end-semester report.</w:t>
      </w:r>
    </w:p>
    <w:p>
      <w:pPr>
        <w:pStyle w:val="Heading2"/>
        <w:spacing w:after="140" w:before="260"/>
      </w:pPr>
      <w:r>
        <w:rPr>
          <w:rFonts w:ascii="Times New Roman" w:cs="Times New Roman" w:eastAsia="Times New Roman" w:hAnsi="Times New Roman"/>
          <w:b/>
          <w:bCs/>
          <w:color w:val="000000"/>
          <w:sz w:val="26"/>
          <w:szCs w:val="26"/>
        </w:rPr>
        <w:t xml:space="preserve">4.8 Verification of correctness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Check</w:t>
            </w:r>
          </w:p>
        </w:tc>
        <w:tc>
          <w:tcPr>
            <w:tcW w:type="dxa" w:w="55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What it establishes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Recomputed accuracy</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Saved weights reloaded and accuracy recomputed from scratch: 0.986984 reported, 0.986984 recomputed</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 data leakage</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 validation and test sets share zero samples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Simulator theory check</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Cumulants match exact analytic values; square formats match published constants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Noise power</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Measured SNR matches target to within 0.02 dB</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Stratification</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Every (format, OSNR) cell split within 2 % of the intended 15 %</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Shuffled-label test</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Training on randomised labels collapses accuracy to the 20 % chance level</w:t>
            </w:r>
          </w:p>
        </w:tc>
      </w:tr>
    </w:tbl>
    <w:p>
      <w:pPr>
        <w:spacing w:after="160" w:before="80"/>
        <w:jc w:val="center"/>
      </w:pPr>
      <w:r>
        <w:rPr>
          <w:rFonts w:ascii="Times New Roman" w:cs="Times New Roman" w:eastAsia="Times New Roman" w:hAnsi="Times New Roman"/>
          <w:i/>
          <w:iCs/>
          <w:sz w:val="20"/>
          <w:szCs w:val="20"/>
        </w:rPr>
        <w:t xml:space="preserve">Table 4.6 — Independent checks that re-derive results rather than trusting stored numbers.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A short paragraph on why the shuffled-label test matters: if a model still scores well after you</w:t>
      </w:r>
      <w:r>
        <w:rPr>
          <w:rFonts w:ascii="Calibri" w:cs="Calibri" w:eastAsia="Calibri" w:hAnsi="Calibri"/>
          <w:color w:val="5B3A16"/>
          <w:sz w:val="19"/>
          <w:szCs w:val="19"/>
        </w:rPr>
        <w:br/>
        <w:t xml:space="preserve">destroy the labels, there is a leak somewhere. Mention that the checks initially failed on noise</w:t>
      </w:r>
      <w:r>
        <w:rPr>
          <w:rFonts w:ascii="Calibri" w:cs="Calibri" w:eastAsia="Calibri" w:hAnsi="Calibri"/>
          <w:color w:val="5B3A16"/>
          <w:sz w:val="19"/>
          <w:szCs w:val="19"/>
        </w:rPr>
        <w:br/>
        <w:t xml:space="preserve">power and investigation showed the CHECK was wrong, not the data.</w:t>
      </w:r>
    </w:p>
    <w:p>
      <w:pPr>
        <w:pStyle w:val="Heading1"/>
        <w:spacing w:after="140" w:before="360"/>
      </w:pPr>
      <w:r>
        <w:rPr>
          <w:rFonts w:ascii="Times New Roman" w:cs="Times New Roman" w:eastAsia="Times New Roman" w:hAnsi="Times New Roman"/>
          <w:b/>
          <w:bCs/>
          <w:color w:val="000000"/>
          <w:sz w:val="30"/>
          <w:szCs w:val="30"/>
        </w:rPr>
        <w:t xml:space="preserve">5. Future Work</w:t>
      </w:r>
    </w:p>
    <w:p>
      <w:pPr>
        <w:spacing w:after="160" w:before="0" w:line="360"/>
        <w:jc w:val="both"/>
      </w:pPr>
      <w:r>
        <w:rPr>
          <w:rFonts w:ascii="Times New Roman" w:cs="Times New Roman" w:eastAsia="Times New Roman" w:hAnsi="Times New Roman"/>
          <w:sz w:val="24"/>
          <w:szCs w:val="24"/>
        </w:rPr>
        <w:t xml:space="preserve">Phase 1 has answered the question the project set out to answer. The work below is planned for the remainder of the project, in the order given. It begins with fibre nonlinearity, where the Phase 1 robustness result already fixes the experimental design.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Frame these as a plan in priority order, not a menu. State what you will do and why that</w:t>
      </w:r>
      <w:r>
        <w:rPr>
          <w:rFonts w:ascii="Calibri" w:cs="Calibri" w:eastAsia="Calibri" w:hAnsi="Calibri"/>
          <w:color w:val="5B3A16"/>
          <w:sz w:val="19"/>
          <w:szCs w:val="19"/>
        </w:rPr>
        <w:br/>
        <w:t xml:space="preserve">order, rather than what might be done. Two or three sentences is enough.</w:t>
      </w:r>
    </w:p>
    <w:p>
      <w:pPr>
        <w:spacing w:after="40" w:before="140" w:line="360"/>
        <w:jc w:val="both"/>
      </w:pPr>
      <w:r>
        <w:rPr>
          <w:rFonts w:ascii="Times New Roman" w:cs="Times New Roman" w:eastAsia="Times New Roman" w:hAnsi="Times New Roman"/>
          <w:b/>
          <w:bCs/>
          <w:sz w:val="24"/>
          <w:szCs w:val="24"/>
        </w:rPr>
        <w:t xml:space="preserve">Experimental validation</w:t>
      </w:r>
    </w:p>
    <w:p>
      <w:pPr>
        <w:spacing w:after="60" w:before="0" w:line="360"/>
        <w:jc w:val="both"/>
      </w:pPr>
      <w:r>
        <w:rPr>
          <w:rFonts w:ascii="Times New Roman" w:cs="Times New Roman" w:eastAsia="Times New Roman" w:hAnsi="Times New Roman"/>
          <w:sz w:val="24"/>
          <w:szCs w:val="24"/>
        </w:rPr>
        <w:t xml:space="preserve">Replace simulated captures with measurements from a real coherent testbed. Data-request emails to research groups holding such data are drafted. This is the honest answer to the project's single largest limitation.</w:t>
      </w:r>
    </w:p>
    <w:p>
      <w:pPr>
        <w:spacing w:after="40" w:before="140" w:line="360"/>
        <w:jc w:val="both"/>
      </w:pPr>
      <w:r>
        <w:rPr>
          <w:rFonts w:ascii="Times New Roman" w:cs="Times New Roman" w:eastAsia="Times New Roman" w:hAnsi="Times New Roman"/>
          <w:b/>
          <w:bCs/>
          <w:sz w:val="24"/>
          <w:szCs w:val="24"/>
        </w:rPr>
        <w:t xml:space="preserve">Polarisation-multiplexed signals</w:t>
      </w:r>
    </w:p>
    <w:p>
      <w:pPr>
        <w:spacing w:after="60" w:before="0" w:line="360"/>
        <w:jc w:val="both"/>
      </w:pPr>
      <w:r>
        <w:rPr>
          <w:rFonts w:ascii="Times New Roman" w:cs="Times New Roman" w:eastAsia="Times New Roman" w:hAnsi="Times New Roman"/>
          <w:sz w:val="24"/>
          <w:szCs w:val="24"/>
        </w:rPr>
        <w:t xml:space="preserve">Commercial long-haul systems send two independent signals on orthogonal polarisations; the present model uses one. Extending to dual polarisation doubles the observable structure and is closer to deployment.</w:t>
      </w:r>
    </w:p>
    <w:p>
      <w:pPr>
        <w:spacing w:after="40" w:before="140" w:line="360"/>
        <w:jc w:val="both"/>
      </w:pPr>
      <w:r>
        <w:rPr>
          <w:rFonts w:ascii="Times New Roman" w:cs="Times New Roman" w:eastAsia="Times New Roman" w:hAnsi="Times New Roman"/>
          <w:b/>
          <w:bCs/>
          <w:sz w:val="24"/>
          <w:szCs w:val="24"/>
        </w:rPr>
        <w:t xml:space="preserve">Fibre nonlinearity</w:t>
      </w:r>
    </w:p>
    <w:p>
      <w:pPr>
        <w:spacing w:after="60" w:before="0" w:line="360"/>
        <w:jc w:val="both"/>
      </w:pPr>
      <w:r>
        <w:rPr>
          <w:rFonts w:ascii="Times New Roman" w:cs="Times New Roman" w:eastAsia="Times New Roman" w:hAnsi="Times New Roman"/>
          <w:sz w:val="24"/>
          <w:szCs w:val="24"/>
        </w:rPr>
        <w:t xml:space="preserve">The channel modelled here is linear. Nonlinear noise is not Gaussian, so cumulant-based features would behave differently — and the robustness result predicts feature-based models would suffer more. That is a testable prediction, which makes it a strong candidate for the next phase.</w:t>
      </w:r>
    </w:p>
    <w:p>
      <w:pPr>
        <w:spacing w:after="40" w:before="140" w:line="360"/>
        <w:jc w:val="both"/>
      </w:pPr>
      <w:r>
        <w:rPr>
          <w:rFonts w:ascii="Times New Roman" w:cs="Times New Roman" w:eastAsia="Times New Roman" w:hAnsi="Times New Roman"/>
          <w:b/>
          <w:bCs/>
          <w:sz w:val="24"/>
          <w:szCs w:val="24"/>
        </w:rPr>
        <w:t xml:space="preserve">Joint OSNR estimation</w:t>
      </w:r>
    </w:p>
    <w:p>
      <w:pPr>
        <w:spacing w:after="60" w:before="0" w:line="360"/>
        <w:jc w:val="both"/>
      </w:pPr>
      <w:r>
        <w:rPr>
          <w:rFonts w:ascii="Times New Roman" w:cs="Times New Roman" w:eastAsia="Times New Roman" w:hAnsi="Times New Roman"/>
          <w:sz w:val="24"/>
          <w:szCs w:val="24"/>
        </w:rPr>
        <w:t xml:space="preserve">The same constellation image that identifies the format also carries OSNR information. This experiment was scoped and deliberately deferred; it is a natural extension.</w:t>
      </w:r>
    </w:p>
    <w:p>
      <w:pPr>
        <w:spacing w:after="40" w:before="140" w:line="360"/>
        <w:jc w:val="both"/>
      </w:pPr>
      <w:r>
        <w:rPr>
          <w:rFonts w:ascii="Times New Roman" w:cs="Times New Roman" w:eastAsia="Times New Roman" w:hAnsi="Times New Roman"/>
          <w:b/>
          <w:bCs/>
          <w:sz w:val="24"/>
          <w:szCs w:val="24"/>
        </w:rPr>
        <w:t xml:space="preserve">More formats and other symbol rates</w:t>
      </w:r>
    </w:p>
    <w:p>
      <w:pPr>
        <w:spacing w:after="60" w:before="0" w:line="360"/>
        <w:jc w:val="both"/>
      </w:pPr>
      <w:r>
        <w:rPr>
          <w:rFonts w:ascii="Times New Roman" w:cs="Times New Roman" w:eastAsia="Times New Roman" w:hAnsi="Times New Roman"/>
          <w:sz w:val="24"/>
          <w:szCs w:val="24"/>
        </w:rPr>
        <w:t xml:space="preserve">A deployed system may need more than five formats, and accuracy typically falls as classes are added. Everything here runs at 32 GBaud; transfer to other rates is untested.</w:t>
      </w:r>
    </w:p>
    <w:p>
      <w:pPr>
        <w:spacing w:after="40" w:before="140" w:line="360"/>
        <w:jc w:val="both"/>
      </w:pPr>
      <w:r>
        <w:rPr>
          <w:rFonts w:ascii="Times New Roman" w:cs="Times New Roman" w:eastAsia="Times New Roman" w:hAnsi="Times New Roman"/>
          <w:b/>
          <w:bCs/>
          <w:sz w:val="24"/>
          <w:szCs w:val="24"/>
        </w:rPr>
        <w:t xml:space="preserve">Explaining the dispersion inversion</w:t>
      </w:r>
    </w:p>
    <w:p>
      <w:pPr>
        <w:spacing w:after="60" w:before="0" w:line="360"/>
        <w:jc w:val="both"/>
      </w:pPr>
      <w:r>
        <w:rPr>
          <w:rFonts w:ascii="Times New Roman" w:cs="Times New Roman" w:eastAsia="Times New Roman" w:hAnsi="Times New Roman"/>
          <w:sz w:val="24"/>
          <w:szCs w:val="24"/>
        </w:rPr>
        <w:t xml:space="preserve">Our own negative result — the SVM outperforming the CNN under residual chromatic dispersion — is not yet explained. Understanding it may point to a hybrid representation.</w:t>
      </w:r>
    </w:p>
    <w:p>
      <w:pPr>
        <w:pStyle w:val="Heading1"/>
        <w:spacing w:after="140" w:before="360"/>
      </w:pPr>
      <w:r>
        <w:rPr>
          <w:rFonts w:ascii="Times New Roman" w:cs="Times New Roman" w:eastAsia="Times New Roman" w:hAnsi="Times New Roman"/>
          <w:b/>
          <w:bCs/>
          <w:color w:val="000000"/>
          <w:sz w:val="30"/>
          <w:szCs w:val="30"/>
        </w:rPr>
        <w:t xml:space="preserve">6. References</w:t>
      </w:r>
    </w:p>
    <w:p>
      <w:pPr>
        <w:spacing w:after="200" w:before="0" w:line="360"/>
        <w:jc w:val="both"/>
      </w:pPr>
      <w:r>
        <w:rPr>
          <w:rFonts w:ascii="Times New Roman" w:cs="Times New Roman" w:eastAsia="Times New Roman" w:hAnsi="Times New Roman"/>
          <w:i/>
          <w:iCs/>
          <w:color w:val="666666"/>
          <w:sz w:val="24"/>
          <w:szCs w:val="24"/>
        </w:rPr>
        <w:t xml:space="preserve">All sixteen references were verified against publisher records on 23 September 2026.</w:t>
      </w:r>
    </w:p>
    <w:p>
      <w:pPr>
        <w:spacing w:after="60" w:line="252"/>
        <w:ind w:left="460" w:hanging="460"/>
        <w:jc w:val="both"/>
      </w:pPr>
      <w:r>
        <w:rPr>
          <w:rFonts w:ascii="Times New Roman" w:cs="Times New Roman" w:eastAsia="Times New Roman" w:hAnsi="Times New Roman"/>
          <w:sz w:val="22"/>
          <w:szCs w:val="22"/>
        </w:rPr>
        <w:t xml:space="preserve">[1]	F. N. Khan, Q. Fan, C. Lu and A. P. T. Lau, "An optical communication's perspective on machine learning and its applications," J. Lightw. Technol., vol. 37, no. 2, pp. 493–516, 2019.</w:t>
      </w:r>
    </w:p>
    <w:p>
      <w:pPr>
        <w:spacing w:after="60" w:line="252"/>
        <w:ind w:left="460" w:hanging="460"/>
        <w:jc w:val="both"/>
      </w:pPr>
      <w:r>
        <w:rPr>
          <w:rFonts w:ascii="Times New Roman" w:cs="Times New Roman" w:eastAsia="Times New Roman" w:hAnsi="Times New Roman"/>
          <w:sz w:val="22"/>
          <w:szCs w:val="22"/>
        </w:rPr>
        <w:t xml:space="preserve">[2]	A. Swami and B. M. Sadler, "Hierarchical digital modulation classification using cumulants," IEEE Trans. Commun., vol. 48, no. 3, pp. 416–429, 2000.</w:t>
      </w:r>
    </w:p>
    <w:p>
      <w:pPr>
        <w:spacing w:after="60" w:line="252"/>
        <w:ind w:left="460" w:hanging="460"/>
        <w:jc w:val="both"/>
      </w:pPr>
      <w:r>
        <w:rPr>
          <w:rFonts w:ascii="Times New Roman" w:cs="Times New Roman" w:eastAsia="Times New Roman" w:hAnsi="Times New Roman"/>
          <w:sz w:val="22"/>
          <w:szCs w:val="22"/>
        </w:rPr>
        <w:t xml:space="preserve">[3]	O. A. Dobre, A. Abdi, Y. Bar-Ness and W. Su, "Survey of automatic modulation classification techniques: classical approaches and new trends," IET Commun., vol. 1, no. 2, pp. 137–156, 2007.</w:t>
      </w:r>
    </w:p>
    <w:p>
      <w:pPr>
        <w:spacing w:after="60" w:line="252"/>
        <w:ind w:left="460" w:hanging="460"/>
        <w:jc w:val="both"/>
      </w:pPr>
      <w:r>
        <w:rPr>
          <w:rFonts w:ascii="Times New Roman" w:cs="Times New Roman" w:eastAsia="Times New Roman" w:hAnsi="Times New Roman"/>
          <w:sz w:val="22"/>
          <w:szCs w:val="22"/>
        </w:rPr>
        <w:t xml:space="preserve">[4]	D. Wang et al., "Intelligent constellation diagram analyzer using convolutional neural network-based deep learning," Opt. Express, vol. 25, no. 15, pp. 17150–17166, 2017.</w:t>
      </w:r>
    </w:p>
    <w:p>
      <w:pPr>
        <w:spacing w:after="60" w:line="252"/>
        <w:ind w:left="460" w:hanging="460"/>
        <w:jc w:val="both"/>
      </w:pPr>
      <w:r>
        <w:rPr>
          <w:rFonts w:ascii="Times New Roman" w:cs="Times New Roman" w:eastAsia="Times New Roman" w:hAnsi="Times New Roman"/>
          <w:sz w:val="22"/>
          <w:szCs w:val="22"/>
        </w:rPr>
        <w:t xml:space="preserve">[5]	F. N. Khan, K. Zhong, W. H. Al-Arashi, C. Yu, C. Lu and A. P. T. Lau, "Modulation format identification in coherent receivers using deep machine learning," IEEE Photon. Technol. Lett., vol. 28, no. 17, pp. 1886–1889, 2016.</w:t>
      </w:r>
    </w:p>
    <w:p>
      <w:pPr>
        <w:spacing w:after="60" w:line="252"/>
        <w:ind w:left="460" w:hanging="460"/>
        <w:jc w:val="both"/>
      </w:pPr>
      <w:r>
        <w:rPr>
          <w:rFonts w:ascii="Times New Roman" w:cs="Times New Roman" w:eastAsia="Times New Roman" w:hAnsi="Times New Roman"/>
          <w:sz w:val="22"/>
          <w:szCs w:val="22"/>
        </w:rPr>
        <w:t xml:space="preserve">[6]	T. J. O'Shea, J. Corgan and T. C. Clancy, "Convolutional radio modulation recognition networks," in Engineering Applications of Neural Networks (EANN 2016), CCIS vol. 629, Cham: Springer, 2016, pp. 213–226.</w:t>
      </w:r>
    </w:p>
    <w:p>
      <w:pPr>
        <w:spacing w:after="60" w:line="252"/>
        <w:ind w:left="460" w:hanging="460"/>
        <w:jc w:val="both"/>
      </w:pPr>
      <w:r>
        <w:rPr>
          <w:rFonts w:ascii="Times New Roman" w:cs="Times New Roman" w:eastAsia="Times New Roman" w:hAnsi="Times New Roman"/>
          <w:sz w:val="22"/>
          <w:szCs w:val="22"/>
        </w:rPr>
        <w:t xml:space="preserve">[7]	Z. Ge, H. Jiang, Y. Guo and J. Zhou, "Accuracy analysis of feature-based automatic modulation classification via deep neural network," Sensors, vol. 21, no. 24, art. 8252, 2021.</w:t>
      </w:r>
    </w:p>
    <w:p>
      <w:pPr>
        <w:spacing w:after="60" w:line="252"/>
        <w:ind w:left="460" w:hanging="460"/>
        <w:jc w:val="both"/>
      </w:pPr>
      <w:r>
        <w:rPr>
          <w:rFonts w:ascii="Times New Roman" w:cs="Times New Roman" w:eastAsia="Times New Roman" w:hAnsi="Times New Roman"/>
          <w:sz w:val="22"/>
          <w:szCs w:val="22"/>
        </w:rPr>
        <w:t xml:space="preserve">[8]	Z. Huang et al., "Modulation format identification based on signal constellation diagrams and support vector machine," Photonics, vol. 9, no. 12, art. 927, 2022.</w:t>
      </w:r>
    </w:p>
    <w:p>
      <w:pPr>
        <w:spacing w:after="60" w:line="252"/>
        <w:ind w:left="460" w:hanging="460"/>
        <w:jc w:val="both"/>
      </w:pPr>
      <w:r>
        <w:rPr>
          <w:rFonts w:ascii="Times New Roman" w:cs="Times New Roman" w:eastAsia="Times New Roman" w:hAnsi="Times New Roman"/>
          <w:sz w:val="22"/>
          <w:szCs w:val="22"/>
        </w:rPr>
        <w:t xml:space="preserve">[9]	X. Tian et al., "A survey on deep learning enabled automatic modulation classification methods: data representations, model structures, and regularization techniques," Signal Processing, vol. 242, art. 110444, 2026.</w:t>
      </w:r>
    </w:p>
    <w:p>
      <w:pPr>
        <w:spacing w:after="60" w:line="252"/>
        <w:ind w:left="460" w:hanging="460"/>
        <w:jc w:val="both"/>
      </w:pPr>
      <w:r>
        <w:rPr>
          <w:rFonts w:ascii="Times New Roman" w:cs="Times New Roman" w:eastAsia="Times New Roman" w:hAnsi="Times New Roman"/>
          <w:sz w:val="22"/>
          <w:szCs w:val="22"/>
        </w:rPr>
        <w:t xml:space="preserve">[10]	H. Yang and R. Sahay, "An uncertainty quantification framework for deep learning-based automatic modulation classification," arXiv preprint arXiv:2503.04142, 2025.</w:t>
      </w:r>
    </w:p>
    <w:p>
      <w:pPr>
        <w:spacing w:after="60" w:line="252"/>
        <w:ind w:left="460" w:hanging="460"/>
        <w:jc w:val="both"/>
      </w:pPr>
      <w:r>
        <w:rPr>
          <w:rFonts w:ascii="Times New Roman" w:cs="Times New Roman" w:eastAsia="Times New Roman" w:hAnsi="Times New Roman"/>
          <w:sz w:val="22"/>
          <w:szCs w:val="22"/>
        </w:rPr>
        <w:t xml:space="preserve">[11]	F. N. Khan, K. Zhong, X. Zhou, W. H. Al-Arashi et al., "Joint OSNR monitoring and modulation format identification in digital coherent receivers using deep neural networks," Opt. Express, vol. 25, no. 15, p. 17767, 2017.</w:t>
      </w:r>
    </w:p>
    <w:p>
      <w:pPr>
        <w:spacing w:after="60" w:line="252"/>
        <w:ind w:left="460" w:hanging="460"/>
        <w:jc w:val="both"/>
      </w:pPr>
      <w:r>
        <w:rPr>
          <w:rFonts w:ascii="Times New Roman" w:cs="Times New Roman" w:eastAsia="Times New Roman" w:hAnsi="Times New Roman"/>
          <w:sz w:val="22"/>
          <w:szCs w:val="22"/>
        </w:rPr>
        <w:t xml:space="preserve">[12]	H. Xu, L. Yang, X. Yu, Z. Zheng et al., "Blind and low-complexity modulation format identification scheme using principal component analysis of Stokes parameters for elastic optical networks," Opt. Express, vol. 28, no. 14, p. 20249, 2020.</w:t>
      </w:r>
    </w:p>
    <w:p>
      <w:pPr>
        <w:spacing w:after="60" w:line="252"/>
        <w:ind w:left="460" w:hanging="460"/>
        <w:jc w:val="both"/>
      </w:pPr>
      <w:r>
        <w:rPr>
          <w:rFonts w:ascii="Times New Roman" w:cs="Times New Roman" w:eastAsia="Times New Roman" w:hAnsi="Times New Roman"/>
          <w:sz w:val="22"/>
          <w:szCs w:val="22"/>
        </w:rPr>
        <w:t xml:space="preserve">[13]	J. Jiang, Q. Zhang, X. Xin, R. Gao et al., "Blind modulation format identification based on principal component analysis and singular value decomposition," Electronics, vol. 11, no. 4, art. 612, 2022.</w:t>
      </w:r>
    </w:p>
    <w:p>
      <w:pPr>
        <w:spacing w:after="60" w:line="252"/>
        <w:ind w:left="460" w:hanging="460"/>
        <w:jc w:val="both"/>
      </w:pPr>
      <w:r>
        <w:rPr>
          <w:rFonts w:ascii="Times New Roman" w:cs="Times New Roman" w:eastAsia="Times New Roman" w:hAnsi="Times New Roman"/>
          <w:sz w:val="22"/>
          <w:szCs w:val="22"/>
        </w:rPr>
        <w:t xml:space="preserve">[14]	S. Zhang, Y. Peng, Q. Sui, J. Li et al., "Modulation format identification in heterogeneous fiber-optic networks using artificial neural networks and genetic algorithms," Photonic Netw. Commun., vol. 32, no. 2, pp. 246–252, 2016.</w:t>
      </w:r>
    </w:p>
    <w:p>
      <w:pPr>
        <w:spacing w:after="60" w:line="252"/>
        <w:ind w:left="460" w:hanging="460"/>
        <w:jc w:val="both"/>
      </w:pPr>
      <w:r>
        <w:rPr>
          <w:rFonts w:ascii="Times New Roman" w:cs="Times New Roman" w:eastAsia="Times New Roman" w:hAnsi="Times New Roman"/>
          <w:sz w:val="22"/>
          <w:szCs w:val="22"/>
        </w:rPr>
        <w:t xml:space="preserve">[15]	T. Wang and X. Liu, "A novel modulation format identification based on amplitude histogram space," Front. Optoelectron., vol. 12, no. 2, pp. 190–196, 2019.</w:t>
      </w:r>
    </w:p>
    <w:p>
      <w:pPr>
        <w:spacing w:after="60" w:line="252"/>
        <w:ind w:left="460" w:hanging="460"/>
        <w:jc w:val="both"/>
      </w:pPr>
      <w:r>
        <w:rPr>
          <w:rFonts w:ascii="Times New Roman" w:cs="Times New Roman" w:eastAsia="Times New Roman" w:hAnsi="Times New Roman"/>
          <w:sz w:val="22"/>
          <w:szCs w:val="22"/>
        </w:rPr>
        <w:t xml:space="preserve">[16]	M. Leblebici, A. Çalhan and M. Cicioğlu, "Deep learning-based modulation recognition with constellation diagram: a case study," Phys. Commun., vol. 63, art. 102285, 2024.</w:t>
      </w:r>
    </w:p>
    <w:p>
      <w:pPr>
        <w:spacing w:after="120" w:before="200" w:line="360"/>
        <w:jc w:val="both"/>
      </w:pPr>
      <w:r>
        <w:rPr>
          <w:rFonts w:ascii="Times New Roman" w:cs="Times New Roman" w:eastAsia="Times New Roman" w:hAnsi="Times New Roman"/>
          <w:i/>
          <w:iCs/>
          <w:color w:val="B04A00"/>
          <w:sz w:val="24"/>
          <w:szCs w:val="24"/>
        </w:rPr>
        <w:t xml:space="preserve">Reference [15]: confirm the issue year before submission. Crossref records the online-first date as June 2018, but volume 12 belongs to the 2019 volume year. Cite the issue year, not the online date.</w:t>
      </w:r>
    </w:p>
    <w:sectPr>
      <w:footerReference w:type="default" r:id="rId7"/>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30"/>
      <w:szCs w:val="30"/>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f9e331c5e367915193f466f886c5dae0202b61.png"/><Relationship Id="rId9" Type="http://schemas.openxmlformats.org/officeDocument/2006/relationships/image" Target="media/c2da5f6edf173f68c094d88b7144c287b379138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2026-09-24T01:04:21.821Z</dcterms:created>
  <dcterms:modified xsi:type="dcterms:W3CDTF">2026-09-24T01:04:21.822Z</dcterms:modified>
</cp:coreProperties>
</file>

<file path=docProps/custom.xml><?xml version="1.0" encoding="utf-8"?>
<Properties xmlns="http://schemas.openxmlformats.org/officeDocument/2006/custom-properties" xmlns:vt="http://schemas.openxmlformats.org/officeDocument/2006/docPropsVTypes"/>
</file>