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MID-SEMESTER PROGRESS REPORT</w:t>
      </w:r>
    </w:p>
    <w:p>
      <w:pPr>
        <w:spacing w:after="700" w:before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Tech. Project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Input Representation Dominates Model Choice in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Machine-Learning Modulation Format Identification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by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Nitesh Kumar Yadav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(Roll No. ________)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Yash Mittal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(Roll No. ________)</w:t>
      </w:r>
    </w:p>
    <w:p>
      <w:pPr>
        <w:spacing w:after="5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Sajan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(Roll No. ________)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 the supervision of</w:t>
      </w:r>
    </w:p>
    <w:p>
      <w:pPr>
        <w:spacing w:after="6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____________________________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Department of Electronics and Communication Engineering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Netaji Subhas University of Technology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Delhi, India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September 2026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Certificate and Declaration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One short paragraph. State that this report presents the work carried out by the three of you,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that it has not been submitted elsewhere, and that sources are acknowledged. Then a second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sentence from the supervisor certifying the work was done under their supervision.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Check whether your department has a prescribed wording — if it does, use theirs instead.</w:t>
      </w:r>
    </w:p>
    <w:p>
      <w:pPr>
        <w:spacing w:after="12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Turnitin similarity report for this document is attached. Plagiarism: ______ %.  AI-generated content: ______ %.</w:t>
      </w:r>
    </w:p>
    <w:p>
      <w:pPr>
        <w:spacing w:after="0" w:before="4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Signatures of all students</w:t>
      </w:r>
    </w:p>
    <w:p>
      <w:pPr>
        <w:tabs>
          <w:tab w:val="right" w:pos="9000"/>
        </w:tabs>
        <w:spacing w:after="0" w:before="5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............................................................</w:t>
      </w:r>
    </w:p>
    <w:p>
      <w:pPr>
        <w:tabs>
          <w:tab w:val="right" w:pos="9000"/>
        </w:tabs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Nitesh Kumar Yadav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Yash Mittal</w:t>
      </w:r>
    </w:p>
    <w:p>
      <w:pPr>
        <w:tabs>
          <w:tab w:val="right" w:pos="9000"/>
        </w:tabs>
        <w:spacing w:after="0" w:before="5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............................................................</w:t>
      </w:r>
    </w:p>
    <w:p>
      <w:pPr>
        <w:tabs>
          <w:tab w:val="right" w:pos="9000"/>
        </w:tabs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Sajan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Date</w:t>
      </w:r>
    </w:p>
    <w:p>
      <w:pPr>
        <w:spacing w:after="0" w:before="5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Signature of the supervisor</w:t>
      </w:r>
    </w:p>
    <w:p>
      <w:pPr>
        <w:tabs>
          <w:tab w:val="right" w:pos="9000"/>
        </w:tabs>
        <w:spacing w:after="0" w:before="5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............................................................</w:t>
      </w:r>
    </w:p>
    <w:p>
      <w:pPr>
        <w:tabs>
          <w:tab w:val="right" w:pos="9000"/>
        </w:tabs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Supervisor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Date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Introduction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Para 1 — Optical fibre carries the internet. Data is sent as light; to send more than one bit per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pulse the transmitter varies both amplitude and phase. Define "symbol" and "modulation format"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here; the committee may not be optical specialists.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Para 2 — Elastic optical networks change format dynamically: 64-QAM on a short clean link,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QPSK on a long noisy one. State the consequence plainly: the receiver cannot demodulate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anything until it knows which format arrived.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Para 3 — That is what modulation format identification (MFI) solves: infer the format from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signal itself, with no control channel. Place it inside optical performance monitoring (OPM).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 The five modulation formats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Format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Points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Bits/symbol</w:t>
            </w:r>
          </w:p>
        </w:tc>
        <w:tc>
          <w:tcPr>
            <w:tcW w:type="dxa" w:w="38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Shape on the I–Q plane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QPSK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3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2×2 square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8-QAM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3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Star — 4 inner + 4 outer, rotated 45°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16-QAM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3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4×4 square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32-QAM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3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Cross — 6×6 grid minus the 4 corners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64-QAM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3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8×8 square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1.1 — The five formats. Two are deliberately non-square, so a classifier cannot succeed by measuring grid density alone.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One paragraph on the fundamental trade-off: more points carry more bits per symbol, but sit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closer together, so less noise is needed to push a received point into its neighbour's region.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Say that this tension drives every design decision in the project.</w:t>
      </w:r>
    </w:p>
    <w:p>
      <w:pPr>
        <w:spacing w:after="40" w:before="200"/>
        <w:jc w:val="center"/>
      </w:pPr>
      <w:r>
        <w:drawing>
          <wp:inline distT="0" distB="0" distL="0" distR="0">
            <wp:extent cx="2857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Fig. 1.1 — Constellation diagrams for the five formats across a range of OSNR. At low OSNR the classes become visually indistinguishable.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~60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Closing paragraph — our question and the contribution, in brief. The standard comparison in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literature changes the model and the input at the same time, so it cannot say which caused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gain. We add an MLP on the same 15 features to separate them. End with the headline result: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representation is worth about three times what the algorithm is worth.</w:t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Literature Survey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This section is worth marks in its own right under the evaluation scheme. Organise it by theme, and end each subsection with what that line of work leaves open.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 Feature-based MFI: the classical approach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~85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Higher-order cumulants as the standard pre-deep-learning tool. Swami and Sadler [2] established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hierarchical cumulant approach; Dobre et al. [3] surveyed the field. Explain WHY cumulants: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Gaussian noise cancels at fourth order and above, so they fingerprint the constellation robustly.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Close on the limitation — they are statistics of an ASSUMED signal model.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 Alternative hand-crafted representations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~95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Not everyone uses cumulants. Amplitude histograms (Khan et al. [5]; Wang and Liu [15]), Stokes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space with PCA (Xu et al. [12]; Jiang et al. [13]), and neural networks on histogram features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selected by genetic algorithms (Zhang et al. [14]). The point to land: the field has explored many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representations, but almost always changes the classifier at the same time.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2.3 Deep learning on constellation images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~95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Wang et al. [4] introduced the intelligent constellation diagram analyzer. Khan et al. [11] did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joint OSNR monitoring and MFI with deep neural networks. Huang et al. [8] used an SVM on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constellation images via GLCM features — a useful midpoint between the two camps. Leblebici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et al. [16] is a recent CNN case study. Gap: every one of these compares a deep model on images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against a shallow model on features.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2.4 The parallel in wireless communications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~85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O'Shea et al. [6] brought CNNs to raw I/Q in radio. Ge et al. [7] is the closest prior work to ours: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it analysed representation effects in WIRELESS automatic modulation classification. Tian et al. [9]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survey the whole deep-learning AMC field organised explicitly by data representation.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Be honest here — say plainly that the question has been asked in wireless. Examiners respect this.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2.5 The gap this project addresses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Two or three sentences. Nobody, in the optical case, holds the input fixed while varying only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algorithm AND holds the algorithm fixed while varying only the input. And nobody has asked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whether the representation affects a model's ability to detect its own failure — Yang and Sahay [10]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study uncertainty, but for a single representation.</w:t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Problem Statement and Methodology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 Problem statement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State it formally: given a capture of N symbols received by a coherent optical receiver, assign it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to one of five modulation formats. Then state the research question as an actual question: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does the gain reported for CNN-based MFI come from the model or from the input representation?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 Experimental design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design isolates the two variables that the literature changes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Shallow model</w:t>
            </w:r>
          </w:p>
        </w:tc>
        <w:tc>
          <w:tcPr>
            <w:tcW w:type="dxa" w:w="34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Deep model</w:t>
            </w:r>
          </w:p>
        </w:tc>
      </w:tr>
      <w:tr>
        <w:trPr>
          <w:tblHeader w:val="false"/>
        </w:trPr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 hand-crafted features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SVM,  k-NN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MLP  ←  the control that is usually missing</w:t>
            </w:r>
          </w:p>
        </w:tc>
      </w:tr>
      <w:tr>
        <w:trPr>
          <w:tblHeader w:val="false"/>
        </w:trPr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64×64 constellation image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CNN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3.1 — Moving across a row changes only the algorithm. Moving down the MLP/CNN column changes only the representation.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Explain why the MLP is the critical control: it is a trained deep network that sees only the 15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features. If MLP ≈ SVM, the representation is what matters. If MLP ≈ CNN, the model is what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matters. Say explicitly that either outcome would have been a real finding — that is what makes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this an experiment rather than a demonstration.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 The optical link simulator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Justify simulation in two or three sentences: no public dataset of labelled optical constellation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captures exists, a physical testbed is far beyond project budget, and simulation gives exactly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controlled OSNR sweeps — which the central claim requires.</w:t>
      </w:r>
    </w:p>
    <w:p>
      <w:pPr>
        <w:spacing w:after="10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simulated signal chain, in order: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Draw 4096 random symbols from the chosen format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Residual chromatic dispersion (inter-symbol interference)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Laser phase noise and residual frequency offset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Carrier phase recovery over 64-symbol blocks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I/Q gain imbalance and phase skew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Automatic gain control — normalise to unit average power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 Additive white Gaussian noise at the target OSNR</w:t>
      </w:r>
    </w:p>
    <w:p>
      <w:pPr>
        <w:spacing w:after="10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60"/>
      </w:tblGrid>
      <w:tr>
        <w:trPr>
          <w:tblHeader/>
        </w:trPr>
        <w:tc>
          <w:tcPr>
            <w:tcW w:type="dxa" w:w="25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Impairment</w:t>
            </w:r>
          </w:p>
        </w:tc>
        <w:tc>
          <w:tcPr>
            <w:tcW w:type="dxa" w:w="37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Physical cause</w:t>
            </w:r>
          </w:p>
        </w:tc>
        <w:tc>
          <w:tcPr>
            <w:tcW w:type="dxa" w:w="31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Effect on the constellation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ASE noise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Spontaneous emission from the inline amplifier chain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Every point spreads into a cloud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Residual chromatic dispersion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Wavelengths travel at different speeds; pulses overlap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Points blur into each other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Laser phase noise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Laser phase drifts as a random walk, set by linewidth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Angular smearing into arcs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Frequency offset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Transmitter laser and local oscillator are separate devices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constellation rotates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I/Q imbalance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Unequal receiver arm gain; hybrid not exactly 90°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Square grid skews to a parallelogram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3.2 — The five impairments modelled. Most student projects simulate only the first row.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Include the frequency-offset ordering problem as a short paragraph — it is a genuine finding and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good viva material. The offset must be applied BEFORE carrier phase recovery, because removing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it is one of CPE's jobs. Applied afterwards, 1 MHz of offset smeared every point into a 46° arc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and constellations looked destroyed even at 25 dB. Describe the fix and what it taught you.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3.4 Validation of the simulator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Explain the check before the table: for a noiseless unit-power constellation the normalised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fourth-order cumulant is an exact finite sum over the constellation points — pure algebra, no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simulation. A faithful simulator must reproduce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Format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Exact theory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Simulated</w:t>
            </w:r>
          </w:p>
        </w:tc>
        <w:tc>
          <w:tcPr>
            <w:tcW w:type="dxa" w:w="21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QPSK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1.0000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0.9997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0.0003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8-QAM (star)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1.5274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1.5251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0.0023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16-QAM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0.6800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0.6830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0.0030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32-QAM (cross)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0.1900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0.1868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0.0032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64-QAM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0.6190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0.6198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0.0007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3.3 — Normalised fourth-order cumulant |C40|/C21². All five formats agree with exact theory to within 0.004. The three square formats additionally match the constants published in the literature.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3.5 The three representations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Representation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Shape</w:t>
            </w:r>
          </w:p>
        </w:tc>
        <w:tc>
          <w:tcPr>
            <w:tcW w:type="dxa" w:w="41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Human pre-processing involved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Raw I/Q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 × 512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None — the symbols as received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Constellation image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 × 64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Binning into a 2-D histogram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Statistical features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Substantial — chosen cumulants and amplitude statistics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3.4 — All three are derived from the same signal realisation, so the comparison between them is exactly fair.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~65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Explain why a 2-D histogram rather than a matplotlib scatter plot: roughly 250× faster to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generate, it preserves density where a scatter plot saturates to solid colour, and it has no axes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or anti-aliasing for the network to latch onto. Then the log(1+x) scaling, and why: cluster centres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get far more hits than the noise tails, which would otherwise round to zero and vanish.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3.6 The five classifiers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 short paragraph per model family. For the CNN give the layer stack (three Conv3×3 → BatchNorm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→ ReLU → MaxPool blocks at 16/32/64 channels, dropout, two dense layers) and explain why it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flattens rather than using global average pooling — the geometric ARRANGEMENT of clusters is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signal. Note that the 1-D model makes the opposite choice for the opposite reason.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3.7 Experimental protocol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split is 70/15/15, stratified on (format, OSNR) so all 105 cells are divided identically.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Explain why three sets and not two: validation decides when to stop, so it is no longer a neutral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judge; test is touched once. Mention the three seeds (42, 43, 44) and that every model sits inside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 Pipeline with StandardScaler so the scaler never sees test data — a common source of leakage.</w:t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Work Done Till Date, Results and Discussion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All figures are mean ± standard deviation over three seeds. Every number in this section is generated directly from the stored results and re-derived by an automated audit.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 Main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1760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Model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Input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Accuracy</w:t>
            </w:r>
          </w:p>
        </w:tc>
        <w:tc>
          <w:tcPr>
            <w:tcW w:type="dxa" w:w="17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Parameters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CNN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64×64 image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98.73 ± 0.12 %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285,941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SVM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 features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93.41 ± 0.10 %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MLP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 features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93.08 ± 0.10 %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11,013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k-NN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 features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91.58 ± 0.08 %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IQ-CNN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raw I/Q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86.56 ± 4.64 %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27,781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4.1 — Test accuracy for all five classifiers on the realistic channel.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central result, in your own words. Three fundamentally different algorithms on identical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features span 1.83 points. Changing the representation to the density image gains 5.32 points —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about three times larger. Point out that the MLP, a deep network, came out BELOW the SVM,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 shallow one: adding depth to the feature pipeline bought nothing at all.</w:t>
      </w:r>
    </w:p>
    <w:p>
      <w:pPr>
        <w:spacing w:after="40" w:before="200"/>
        <w:jc w:val="center"/>
      </w:pPr>
      <w:r>
        <w:drawing>
          <wp:inline distT="0" distB="0" distL="0" distR="0">
            <wp:extent cx="4191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Fig. 4.1 — The algorithm effect and the representation effect, separated.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4.2 Accuracy against OSNR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Model</w:t>
            </w:r>
          </w:p>
        </w:tc>
        <w:tc>
          <w:tcPr>
            <w:tcW w:type="dxa" w:w="312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OSNR for ≥95 % accuracy</w:t>
            </w:r>
          </w:p>
        </w:tc>
        <w:tc>
          <w:tcPr>
            <w:tcW w:type="dxa" w:w="312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OSNR for ≥99 %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CNN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 dB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dB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SVM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 dB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 dB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k-NN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 dB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 dB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4.2 — The same result expressed as an OSNR margin, which converts directly into reach or amplifier count.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Explain why the margin is the better number to quote to an optical engineer, and describe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shape of the curves: below about 9 dB the feature-based classifiers fall away while the CNN holds.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At 5 dB the information is genuinely gone — no classifier can recover what the channel destroyed.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4.3 Generalisation to unseen OSNR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CNN scores 97.45 ± 0.16 % on OSNR levels withheld entirely from training, a drop of only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1.27 points. State the conclusion: it learned the physics of the constellation, not the specific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noise levels it was trained on.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4.4 Capture length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One short paragraph. The CNN using only 512 symbols reaches 94.08 %, which beats the SVM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given the full 4096 (93.82 %). An eight-times shorter capture still wins. Say why that matters: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it bounds how quickly a deployed monitor could respond to a change of format.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4.5 Further experiments completed, analysis in progress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Four further experiments have been run to completion. Their detailed analysis and discussion is in preparation for the end-semester review; the headline outcome of each is stated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Experiment</w:t>
            </w:r>
          </w:p>
        </w:tc>
        <w:tc>
          <w:tcPr>
            <w:tcW w:type="dxa" w:w="60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Headline outcome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Channel robustness</w:t>
            </w:r>
          </w:p>
        </w:tc>
        <w:tc>
          <w:tcPr>
            <w:tcW w:type="dxa" w:w="6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Trained on a clean channel and tested on a severe one, the feature-based classifier falls to 21.84 % against a 20 % chance level, while the CNN holds 89.78 %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Failure self-detection</w:t>
            </w:r>
          </w:p>
        </w:tc>
        <w:tc>
          <w:tcPr>
            <w:tcW w:type="dxa" w:w="6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At a 90 % confidence gate the two representations differ by roughly 447 times in the fraction of inputs they can still answer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Impairment tolerance</w:t>
            </w:r>
          </w:p>
        </w:tc>
        <w:tc>
          <w:tcPr>
            <w:tcW w:type="dxa" w:w="6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I/Q imbalance destroys the cumulant features; residual chromatic dispersion is the one case in which the feature-based model outperforms the CNN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Architecture ablation</w:t>
            </w:r>
          </w:p>
        </w:tc>
        <w:tc>
          <w:tcPr>
            <w:tcW w:type="dxa" w:w="6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Accuracy varies by only 1.26 points across a 9.2 times range in parameter count, so capacity is not the binding constraint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4.4 — Experiments complete, but reserved for detailed treatment in the end-semester report.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4.8 Verification of correctness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Check</w:t>
            </w:r>
          </w:p>
        </w:tc>
        <w:tc>
          <w:tcPr>
            <w:tcW w:type="dxa" w:w="55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What it establishes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Recomputed accuracy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Saved weights reloaded and accuracy recomputed from scratch: 0.986984 reported, 0.986984 recomputed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 data leakage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Train, validation and test sets share zero samples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Simulator theory check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Cumulants match exact analytic values; square formats match published constants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Noise power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Measured SNR matches target to within 0.02 dB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Stratification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Every (format, OSNR) cell split within 2 % of the intended 15 %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Shuffled-label test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Training on randomised labels collapses accuracy to the 20 % chance level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4.6 — Independent checks that re-derive results rather than trusting stored numbers.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 short paragraph on why the shuffled-label test matters: if a model still scores well after you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destroy the labels, there is a leak somewhere. Mention that the checks initially failed on noise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power and investigation showed the CHECK was wrong, not the data.</w:t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Future Work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Phase 1 has answered the question the project set out to answer. The directions below are candidates for the remainder of the work rather than commitments; guidance from the committee on which to prioritise would be welcome.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Frame these as candidate directions, not commitments, so the committee feedback can shape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which ones are taken up. Two or three sentences is enough.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Experimental validation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Replace simulated captures with measurements from a real coherent testbed. Data-request emails to research groups holding such data are drafted. This is the honest answer to the project's single largest limitation.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Polarisation-multiplexed signals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Commercial long-haul systems send two independent signals on orthogonal polarisations; the present model uses one. Extending to dual polarisation doubles the observable structure and is closer to deployment.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Fibre nonlinearity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channel modelled here is linear. Nonlinear noise is not Gaussian, so cumulant-based features would behave differently — and the robustness result predicts feature-based models would suffer more. That is a testable prediction, which makes it a strong candidate for the next phase.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Joint OSNR estimation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same constellation image that identifies the format also carries OSNR information. This experiment was scoped and deliberately deferred; it is a natural extension.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More formats and other symbol rates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deployed system may need more than five formats, and accuracy typically falls as classes are added. Everything here runs at 32 GBaud; transfer to other rates is untested.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Explaining the dispersion inversion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Our own negative result — the SVM outperforming the CNN under residual chromatic dispersion — is not yet explained. Understanding it may point to a hybrid representation.</w:t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References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All sixteen references were verified against publisher records on 23 September 2026.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	F. N. Khan, Q. Fan, C. Lu and A. P. T. Lau, "An optical communication's perspective on machine learning and its applications," J. Lightw. Technol., vol. 37, no. 2, pp. 493–516, 2019.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	A. Swami and B. M. Sadler, "Hierarchical digital modulation classification using cumulants," IEEE Trans. Commun., vol. 48, no. 3, pp. 416–429, 2000.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	O. A. Dobre, A. Abdi, Y. Bar-Ness and W. Su, "Survey of automatic modulation classification techniques: classical approaches and new trends," IET Commun., vol. 1, no. 2, pp. 137–156, 2007.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	D. Wang et al., "Intelligent constellation diagram analyzer using convolutional neural network-based deep learning," Opt. Express, vol. 25, no. 15, pp. 17150–17166, 2017.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	F. N. Khan, K. Zhong, W. H. Al-Arashi, C. Yu, C. Lu and A. P. T. Lau, "Modulation format identification in coherent receivers using deep machine learning," IEEE Photon. Technol. Lett., vol. 28, no. 17, pp. 1886–1889, 2016.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[6]	T. J. O'Shea, J. Corgan and T. C. Clancy, "Convolutional radio modulation recognition networks," in Engineering Applications of Neural Networks (EANN 2016), CCIS vol. 629, Cham: Springer, 2016, pp. 213–226.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[7]	Z. Ge, H. Jiang, Y. Guo and J. Zhou, "Accuracy analysis of feature-based automatic modulation classification via deep neural network," Sensors, vol. 21, no. 24, art. 8252, 2021.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[8]	Z. Huang et al., "Modulation format identification based on signal constellation diagrams and support vector machine," Photonics, vol. 9, no. 12, art. 927, 2022.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[9]	X. Tian et al., "A survey on deep learning enabled automatic modulation classification methods: data representations, model structures, and regularization techniques," Signal Processing, vol. 242, art. 110444, 2026.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[10]	H. Yang and R. Sahay, "An uncertainty quantification framework for deep learning-based automatic modulation classification," arXiv preprint arXiv:2503.04142, 2025.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[11]	F. N. Khan, K. Zhong, X. Zhou, W. H. Al-Arashi et al., "Joint OSNR monitoring and modulation format identification in digital coherent receivers using deep neural networks," Opt. Express, vol. 25, no. 15, p. 17767, 2017.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[12]	H. Xu, L. Yang, X. Yu, Z. Zheng et al., "Blind and low-complexity modulation format identification scheme using principal component analysis of Stokes parameters for elastic optical networks," Opt. Express, vol. 28, no. 14, p. 20249, 2020.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[13]	J. Jiang, Q. Zhang, X. Xin, R. Gao et al., "Blind modulation format identification based on principal component analysis and singular value decomposition," Electronics, vol. 11, no. 4, art. 612, 2022.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[14]	S. Zhang, Y. Peng, Q. Sui, J. Li et al., "Modulation format identification in heterogeneous fiber-optic networks using artificial neural networks and genetic algorithms," Photonic Netw. Commun., vol. 32, no. 2, pp. 246–252, 2016.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[15]	T. Wang and X. Liu, "A novel modulation format identification based on amplitude histogram space," Front. Optoelectron., vol. 12, no. 2, pp. 190–196, 2019.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[16]	M. Leblebici, A. Çalhan and M. Cicioğlu, "Deep learning-based modulation recognition with constellation diagram: a case study," Phys. Commun., vol. 63, art. 102285, 2024.</w:t>
      </w:r>
    </w:p>
    <w:p>
      <w:pPr>
        <w:spacing w:after="120" w:before="200" w:line="360"/>
        <w:jc w:val="both"/>
      </w:pPr>
      <w:r>
        <w:rPr>
          <w:rFonts w:ascii="Times New Roman" w:cs="Times New Roman" w:eastAsia="Times New Roman" w:hAnsi="Times New Roman"/>
          <w:i/>
          <w:iCs/>
          <w:color w:val="B04A00"/>
          <w:sz w:val="24"/>
          <w:szCs w:val="24"/>
        </w:rPr>
        <w:t xml:space="preserve">Reference [15]: confirm the issue year before submission. Crossref records the online-first date as June 2018, but volume 12 belongs to the 2019 volume year. Cite the issue year, not the online date.</w:t>
      </w:r>
    </w:p>
    <w:sectPr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f9e331c5e367915193f466f886c5dae0202b61.png"/><Relationship Id="rId9" Type="http://schemas.openxmlformats.org/officeDocument/2006/relationships/image" Target="media/c2da5f6edf173f68c094d88b7144c287b379138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2026-09-23T17:02:43.447Z</dcterms:created>
  <dcterms:modified xsi:type="dcterms:W3CDTF">2026-09-23T17:02:43.450Z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