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بتسلم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كل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شريك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ما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يخصه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بعد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التصفية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نقر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تصفيتها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   " </w:t>
      </w:r>
      <w:r>
        <w:rPr>
          <w:sz w:val="36"/>
          <w:sz w:val="36"/>
          <w:szCs w:val="36"/>
          <w:rtl w:val="true"/>
        </w:rPr>
        <w:t>او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لحكم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القضاء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الدعوى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......."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يخصه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موجودات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القسمة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لاحد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الاخرين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سبب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قبوله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التقييم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للموجودات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وقسمتها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ab/>
        <w:tab/>
        <w:tab/>
        <w:tab/>
        <w:tab/>
        <w:tab/>
        <w:t>(</w:t>
      </w:r>
      <w:r>
        <w:rPr>
          <w:sz w:val="36"/>
          <w:sz w:val="36"/>
          <w:szCs w:val="36"/>
          <w:rtl w:val="true"/>
        </w:rPr>
        <w:t>المقرون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بتسلم كل شريك ما يخصه بعد التصفية</dc:title>
</cp:coreProperties>
</file>