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بقبض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الوكيل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لأجره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اقر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" </w:t>
      </w:r>
      <w:r>
        <w:rPr>
          <w:sz w:val="36"/>
          <w:sz w:val="36"/>
          <w:szCs w:val="36"/>
          <w:rtl w:val="true"/>
        </w:rPr>
        <w:t>الوكيل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قبضت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/......... " </w:t>
      </w:r>
      <w:r>
        <w:rPr>
          <w:sz w:val="36"/>
          <w:sz w:val="36"/>
          <w:szCs w:val="36"/>
          <w:rtl w:val="true"/>
        </w:rPr>
        <w:t>الموكل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مبلغا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قيمة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المستحق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ذمته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مقابل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قيامى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والموثق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بمكتب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توثيق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تحت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 </w:t>
      </w:r>
      <w:r>
        <w:rPr>
          <w:sz w:val="36"/>
          <w:sz w:val="36"/>
          <w:szCs w:val="36"/>
          <w:rtl w:val="true"/>
        </w:rPr>
        <w:t>ويعتبر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مخالصة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استمرار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التزامى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بالقيام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خير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وجه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مقرر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قانونا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وعرفا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</w:t>
        <w:tab/>
        <w:tab/>
        <w:tab/>
        <w:t xml:space="preserve">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بقبض الوكيل لأجره</dc:title>
</cp:coreProperties>
</file>