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LAD Education Counsellor Profile &amp; Schedule – Case Study</w:t>
      </w:r>
    </w:p>
    <w:p>
      <w:r>
        <w:t>This case study explains how to extend LAD with Education vertical counsellor profiles and scheduling.</w:t>
      </w:r>
    </w:p>
    <w:p>
      <w:pPr>
        <w:pStyle w:val="Heading1"/>
      </w:pPr>
      <w:r>
        <w:t>1. Database Design</w:t>
      </w:r>
    </w:p>
    <w:p>
      <w:r>
        <w:t>education_counsellors table extends users in 1:1 relationship with tenant isolation and working_hours JSONB.</w:t>
      </w:r>
    </w:p>
    <w:p>
      <w:pPr>
        <w:pStyle w:val="Heading1"/>
      </w:pPr>
      <w:r>
        <w:t>2. API Endpoints</w:t>
      </w:r>
    </w:p>
    <w:p>
      <w:r>
        <w:t>GET /api/education/counsellors/me</w:t>
        <w:br/>
        <w:t>GET /api/education/counsellors/:userId</w:t>
        <w:br/>
        <w:t>PUT /api/education/counsellors/:userId</w:t>
        <w:br/>
        <w:t>GET /api/education/counsellors/:userId/availability</w:t>
        <w:br/>
        <w:t>GET /api/education/counsellors/:userId/bookings</w:t>
      </w:r>
    </w:p>
    <w:p>
      <w:pPr>
        <w:pStyle w:val="Heading1"/>
      </w:pPr>
      <w:r>
        <w:t>3. SDK Contracts</w:t>
      </w:r>
    </w:p>
    <w:p>
      <w:r>
        <w:t>Types: CounsellorProfile, AvailabilityResponse, BookingItem</w:t>
      </w:r>
    </w:p>
    <w:p>
      <w:pPr>
        <w:pStyle w:val="Heading1"/>
      </w:pPr>
      <w:r>
        <w:t>4. SDK Hooks</w:t>
      </w:r>
    </w:p>
    <w:p>
      <w:r>
        <w:t>useMyCounsellorProfile, useCounsellorAvailability, useUpdateCounsellorProfile</w:t>
      </w:r>
    </w:p>
    <w:p>
      <w:pPr>
        <w:pStyle w:val="Heading1"/>
      </w:pPr>
      <w:r>
        <w:t>5. UI Slot</w:t>
      </w:r>
    </w:p>
    <w:p>
      <w:r>
        <w:t>CounsellorScheduleSlot.tsx renders availability and allows booking.</w:t>
      </w:r>
    </w:p>
    <w:p>
      <w:pPr>
        <w:pStyle w:val="Heading1"/>
      </w:pPr>
      <w:r>
        <w:t>6. LAD Rules Followed</w:t>
      </w:r>
    </w:p>
    <w:p>
      <w:r>
        <w:t>No client named tables. Vertical extension via education_counsellors. Feature isolation preserved.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