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</w:pPr>
      <w:r>
        <w:rPr>
          <w:rFonts w:ascii="Georgia" w:cs="Georgia" w:eastAsia="Georgia" w:hAnsi="Georgia"/>
          <w:b/>
          <w:bCs/>
          <w:color w:val="1B2A41"/>
          <w:sz w:val="38"/>
          <w:szCs w:val="38"/>
        </w:rPr>
        <w:t xml:space="preserve">Managed IT Services Proposal</w:t>
      </w:r>
    </w:p>
    <w:p>
      <w:pPr>
        <w:spacing w:after="260"/>
      </w:pPr>
      <w:r>
        <w:rPr>
          <w:rFonts w:ascii="Georgia" w:cs="Georgia" w:eastAsia="Georgia" w:hAnsi="Georgia"/>
          <w:b/>
          <w:bCs/>
          <w:color w:val="5C6B7A"/>
          <w:sz w:val="22"/>
          <w:szCs w:val="22"/>
        </w:rPr>
        <w:t xml:space="preserve">Prepared for Whitfield &amp; Associates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shd w:fill="DCE3E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232323"/>
                <w:sz w:val="16"/>
                <w:szCs w:val="16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shd w:fill="DCE3E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232323"/>
                <w:sz w:val="16"/>
                <w:szCs w:val="16"/>
              </w:rPr>
              <w:t xml:space="preserve">Prepared By</w:t>
            </w:r>
          </w:p>
        </w:tc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shd w:fill="DCE3E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232323"/>
                <w:sz w:val="16"/>
                <w:szCs w:val="16"/>
              </w:rPr>
              <w:t xml:space="preserve">Proposal Valid Until</w:t>
            </w:r>
          </w:p>
        </w:tc>
      </w:tr>
      <w:tr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232323"/>
                <w:sz w:val="17"/>
                <w:szCs w:val="17"/>
              </w:rPr>
              <w:t xml:space="preserve">September 7, 2026</w:t>
            </w:r>
          </w:p>
        </w:tc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232323"/>
                <w:sz w:val="17"/>
                <w:szCs w:val="17"/>
              </w:rPr>
              <w:t xml:space="preserve">Fortress IT Group — Sales Engineering</w:t>
            </w:r>
          </w:p>
        </w:tc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232323"/>
                <w:sz w:val="17"/>
                <w:szCs w:val="17"/>
              </w:rPr>
              <w:t xml:space="preserve">September 21, 2026 (14 days)</w:t>
            </w:r>
          </w:p>
        </w:tc>
      </w:tr>
    </w:tbl>
    <w:p>
      <w:pPr>
        <w:spacing w:after="110" w:before="300"/>
      </w:pPr>
      <w:r>
        <w:rPr>
          <w:rFonts w:ascii="Georgia" w:cs="Georgia" w:eastAsia="Georgia" w:hAnsi="Georgia"/>
          <w:b/>
          <w:bCs/>
          <w:color w:val="5C6B7A"/>
          <w:sz w:val="18"/>
          <w:szCs w:val="18"/>
        </w:rPr>
        <w:t xml:space="preserve">01  </w:t>
      </w:r>
      <w:r>
        <w:rPr>
          <w:rFonts w:ascii="Georgia" w:cs="Georgia" w:eastAsia="Georgia" w:hAnsi="Georgia"/>
          <w:b/>
          <w:bCs/>
          <w:color w:val="1B2A41"/>
          <w:sz w:val="25"/>
          <w:szCs w:val="25"/>
        </w:rPr>
        <w:t xml:space="preserve">Current Environment Risk Profile</w:t>
      </w:r>
    </w:p>
    <w:p>
      <w:pPr>
        <w:spacing w:after="160"/>
      </w:pPr>
      <w:r>
        <w:rPr>
          <w:rFonts w:ascii="Georgia" w:cs="Georgia" w:eastAsia="Georgia" w:hAnsi="Georgia"/>
          <w:color w:val="232323"/>
          <w:sz w:val="21"/>
          <w:szCs w:val="21"/>
        </w:rPr>
        <w:t xml:space="preserve">You noted Whitfield &amp; Associates has grown to 42 employees across two offices with no dedicated IT support in place. At that headcount, informal or single-contractor IT support is statistically where firms start seeing recurring downtime, delayed patching, and no documented backup posture — all of which compound quietly until an outage or incident forces the issue. The scope below is sized specifically to your headcount and device footprint.</w:t>
      </w:r>
    </w:p>
    <w:p>
      <w:pPr>
        <w:spacing w:after="110" w:before="260"/>
      </w:pPr>
      <w:r>
        <w:rPr>
          <w:rFonts w:ascii="Georgia" w:cs="Georgia" w:eastAsia="Georgia" w:hAnsi="Georgia"/>
          <w:b/>
          <w:bCs/>
          <w:color w:val="5C6B7A"/>
          <w:sz w:val="18"/>
          <w:szCs w:val="18"/>
        </w:rPr>
        <w:t xml:space="preserve">02  </w:t>
      </w:r>
      <w:r>
        <w:rPr>
          <w:rFonts w:ascii="Georgia" w:cs="Georgia" w:eastAsia="Georgia" w:hAnsi="Georgia"/>
          <w:b/>
          <w:bCs/>
          <w:color w:val="1B2A41"/>
          <w:sz w:val="25"/>
          <w:szCs w:val="25"/>
        </w:rPr>
        <w:t xml:space="preserve">Recommended Tier: Standard</w:t>
      </w:r>
    </w:p>
    <w:p>
      <w:pPr>
        <w:spacing w:after="160"/>
      </w:pPr>
      <w:r>
        <w:rPr>
          <w:rFonts w:ascii="Georgia" w:cs="Georgia" w:eastAsia="Georgia" w:hAnsi="Georgia"/>
          <w:color w:val="232323"/>
          <w:sz w:val="21"/>
          <w:szCs w:val="21"/>
        </w:rPr>
        <w:t xml:space="preserve">Standard is built for firms your size that need faster-than-business-hours coverage and managed backups, without paying for the 24/7 / vCIO layer that Premium adds — appropriate once you're running compliance-sensitive client data with real recovery-time expectations.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shd w:fill="DCE3E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32323"/>
                <w:sz w:val="18"/>
                <w:szCs w:val="18"/>
              </w:rPr>
              <w:t xml:space="preserve">Essential</w:t>
            </w:r>
          </w:p>
        </w:tc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shd w:fill="1B2A4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Standard — Recommended</w:t>
            </w:r>
          </w:p>
        </w:tc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shd w:fill="DCE3E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32323"/>
                <w:sz w:val="18"/>
                <w:szCs w:val="18"/>
              </w:rPr>
              <w:t xml:space="preserve">Premium</w:t>
            </w:r>
          </w:p>
        </w:tc>
      </w:tr>
      <w:tr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232323"/>
                <w:sz w:val="18"/>
                <w:szCs w:val="18"/>
              </w:rPr>
              <w:t xml:space="preserve">$45/seat/mo base</w:t>
            </w:r>
          </w:p>
        </w:tc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shd w:fill="EDF1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32323"/>
                <w:sz w:val="18"/>
                <w:szCs w:val="18"/>
              </w:rPr>
              <w:t xml:space="preserve">$65/seat/mo base</w:t>
            </w:r>
          </w:p>
        </w:tc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232323"/>
                <w:sz w:val="18"/>
                <w:szCs w:val="18"/>
              </w:rPr>
              <w:t xml:space="preserve">$85/seat/mo base</w:t>
            </w:r>
          </w:p>
        </w:tc>
      </w:tr>
      <w:tr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232323"/>
                <w:sz w:val="18"/>
                <w:szCs w:val="18"/>
              </w:rPr>
              <w:t xml:space="preserve">Business hours, next-day</w:t>
            </w:r>
          </w:p>
        </w:tc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shd w:fill="EDF1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232323"/>
                <w:sz w:val="18"/>
                <w:szCs w:val="18"/>
              </w:rPr>
              <w:t xml:space="preserve">4-hr response + after-hours line</w:t>
            </w:r>
          </w:p>
        </w:tc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232323"/>
                <w:sz w:val="18"/>
                <w:szCs w:val="18"/>
              </w:rPr>
              <w:t xml:space="preserve">1-hr priority, 24/7</w:t>
            </w:r>
          </w:p>
        </w:tc>
      </w:tr>
      <w:tr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232323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shd w:fill="EDF1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232323"/>
                <w:sz w:val="18"/>
                <w:szCs w:val="18"/>
              </w:rPr>
              <w:t xml:space="preserve">Managed backup included</w:t>
            </w:r>
          </w:p>
        </w:tc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232323"/>
                <w:sz w:val="18"/>
                <w:szCs w:val="18"/>
              </w:rPr>
              <w:t xml:space="preserve">+ Quarterly vCIO review</w:t>
            </w:r>
          </w:p>
        </w:tc>
      </w:tr>
    </w:tbl>
    <w:p>
      <w:pPr>
        <w:spacing w:after="110" w:before="300"/>
      </w:pPr>
      <w:r>
        <w:rPr>
          <w:rFonts w:ascii="Georgia" w:cs="Georgia" w:eastAsia="Georgia" w:hAnsi="Georgia"/>
          <w:b/>
          <w:bCs/>
          <w:color w:val="5C6B7A"/>
          <w:sz w:val="18"/>
          <w:szCs w:val="18"/>
        </w:rPr>
        <w:t xml:space="preserve">03  </w:t>
      </w:r>
      <w:r>
        <w:rPr>
          <w:rFonts w:ascii="Georgia" w:cs="Georgia" w:eastAsia="Georgia" w:hAnsi="Georgia"/>
          <w:b/>
          <w:bCs/>
          <w:color w:val="1B2A41"/>
          <w:sz w:val="25"/>
          <w:szCs w:val="25"/>
        </w:rPr>
        <w:t xml:space="preserve">Headcount &amp; Device Calculation</w:t>
      </w:r>
    </w:p>
    <w:p>
      <w:pPr>
        <w:spacing w:after="160"/>
      </w:pPr>
      <w:r>
        <w:rPr>
          <w:rFonts w:ascii="Georgia" w:cs="Georgia" w:eastAsia="Georgia" w:hAnsi="Georgia"/>
          <w:color w:val="232323"/>
          <w:sz w:val="21"/>
          <w:szCs w:val="21"/>
        </w:rPr>
        <w:t xml:space="preserve">Shown in full so the math is auditable against your invoice every month — no black-box pricing.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shd w:fill="DCE3E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232323"/>
                <w:sz w:val="18"/>
                <w:szCs w:val="18"/>
              </w:rPr>
              <w:t xml:space="preserve">Total employees / seats</w:t>
            </w:r>
          </w:p>
        </w:tc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shd w:fill="DCE3E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232323"/>
                <w:sz w:val="18"/>
                <w:szCs w:val="18"/>
              </w:rPr>
              <w:t xml:space="preserve">42</w:t>
            </w:r>
          </w:p>
        </w:tc>
      </w:tr>
      <w:tr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232323"/>
                <w:sz w:val="18"/>
                <w:szCs w:val="18"/>
              </w:rPr>
              <w:t xml:space="preserve">Standard tier base rate</w:t>
            </w:r>
          </w:p>
        </w:tc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232323"/>
                <w:sz w:val="18"/>
                <w:szCs w:val="18"/>
              </w:rPr>
              <w:t xml:space="preserve">$65.00 / seat / mo</w:t>
            </w:r>
          </w:p>
        </w:tc>
      </w:tr>
      <w:tr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232323"/>
                <w:sz w:val="18"/>
                <w:szCs w:val="18"/>
              </w:rPr>
              <w:t xml:space="preserve">Volume adjustment (25–49 seat band)</w:t>
            </w:r>
          </w:p>
        </w:tc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232323"/>
                <w:sz w:val="18"/>
                <w:szCs w:val="18"/>
              </w:rPr>
              <w:t xml:space="preserve">−$5.00 / seat / mo</w:t>
            </w:r>
          </w:p>
        </w:tc>
      </w:tr>
      <w:tr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232323"/>
                <w:sz w:val="18"/>
                <w:szCs w:val="18"/>
              </w:rPr>
              <w:t xml:space="preserve">Adjusted rate</w:t>
            </w:r>
          </w:p>
        </w:tc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232323"/>
                <w:sz w:val="18"/>
                <w:szCs w:val="18"/>
              </w:rPr>
              <w:t xml:space="preserve">$60.00 / seat / mo</w:t>
            </w:r>
          </w:p>
        </w:tc>
      </w:tr>
      <w:tr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232323"/>
                <w:sz w:val="18"/>
                <w:szCs w:val="18"/>
              </w:rPr>
              <w:t xml:space="preserve">Seat subtotal (42 seats × $60.00)</w:t>
            </w:r>
          </w:p>
        </w:tc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232323"/>
                <w:sz w:val="18"/>
                <w:szCs w:val="18"/>
              </w:rPr>
              <w:t xml:space="preserve">$2,520.00</w:t>
            </w:r>
          </w:p>
        </w:tc>
      </w:tr>
      <w:tr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232323"/>
                <w:sz w:val="18"/>
                <w:szCs w:val="18"/>
              </w:rPr>
              <w:t xml:space="preserve">Managed devices beyond 1:1 (5 servers × $12.00)</w:t>
            </w:r>
          </w:p>
        </w:tc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232323"/>
                <w:sz w:val="18"/>
                <w:szCs w:val="18"/>
              </w:rPr>
              <w:t xml:space="preserve">$60.00</w:t>
            </w:r>
          </w:p>
        </w:tc>
      </w:tr>
      <w:tr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shd w:fill="EDF1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232323"/>
                <w:sz w:val="18"/>
                <w:szCs w:val="18"/>
              </w:rPr>
              <w:t xml:space="preserve">Monthly Recurring Subtotal</w:t>
            </w:r>
          </w:p>
        </w:tc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shd w:fill="EDF1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232323"/>
                <w:sz w:val="18"/>
                <w:szCs w:val="18"/>
              </w:rPr>
              <w:t xml:space="preserve">$2,580.00</w:t>
            </w:r>
          </w:p>
        </w:tc>
      </w:tr>
      <w:tr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232323"/>
                <w:sz w:val="18"/>
                <w:szCs w:val="18"/>
              </w:rPr>
              <w:t xml:space="preserve">Ohio state tax (6%, on recurring only)</w:t>
            </w:r>
          </w:p>
        </w:tc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232323"/>
                <w:sz w:val="18"/>
                <w:szCs w:val="18"/>
              </w:rPr>
              <w:t xml:space="preserve">$154.80</w:t>
            </w:r>
          </w:p>
        </w:tc>
      </w:tr>
      <w:tr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shd w:fill="DCE3E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232323"/>
                <w:sz w:val="18"/>
                <w:szCs w:val="18"/>
              </w:rPr>
              <w:t xml:space="preserve">Total Monthly Recurring</w:t>
            </w:r>
          </w:p>
        </w:tc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shd w:fill="DCE3E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232323"/>
                <w:sz w:val="18"/>
                <w:szCs w:val="18"/>
              </w:rPr>
              <w:t xml:space="preserve">$2,734.80</w:t>
            </w:r>
          </w:p>
        </w:tc>
      </w:tr>
    </w:tbl>
    <w:p>
      <w:pPr>
        <w:spacing w:after="80"/>
      </w:pPr>
      <w:r>
        <w:rPr>
          <w:rFonts w:ascii="Georgia" w:cs="Georgia" w:eastAsia="Georgia" w:hAnsi="Georgia"/>
          <w:color w:val="232323"/>
          <w:sz w:val="21"/>
          <w:szCs w:val="21"/>
        </w:rPr>
        <w:t xml:space="preserve">Plus a one-time onboarding fee, invoiced separately at signing (not subject to the recurring tax above):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shd w:fill="DCE3E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232323"/>
                <w:sz w:val="18"/>
                <w:szCs w:val="18"/>
              </w:rPr>
              <w:t xml:space="preserve">One-time setup &amp; onboarding (42 seats × $75.00)</w:t>
            </w:r>
          </w:p>
        </w:tc>
        <w:tc>
          <w:tcPr>
            <w:tcW w:type="dxa" w:w="20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shd w:fill="DCE3E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232323"/>
                <w:sz w:val="18"/>
                <w:szCs w:val="18"/>
              </w:rPr>
              <w:t xml:space="preserve">$3,150.00</w:t>
            </w:r>
          </w:p>
        </w:tc>
      </w:tr>
    </w:tbl>
    <w:p>
      <w:pPr>
        <w:spacing w:after="260"/>
      </w:pPr>
      <w:r>
        <w:rPr>
          <w:rFonts w:ascii="Georgia" w:cs="Georgia" w:eastAsia="Georgia" w:hAnsi="Georgia"/>
          <w:i/>
          <w:iCs/>
          <w:color w:val="232323"/>
          <w:sz w:val="21"/>
          <w:szCs w:val="21"/>
        </w:rPr>
        <w:t xml:space="preserve">Minimum billable commitment is 10 seats — your 42-seat count is well above the floor, so no minimum-commit adjustment applies.</w:t>
      </w:r>
    </w:p>
    <w:p>
      <w:pPr>
        <w:spacing w:after="110" w:before="260"/>
      </w:pPr>
      <w:r>
        <w:rPr>
          <w:rFonts w:ascii="Georgia" w:cs="Georgia" w:eastAsia="Georgia" w:hAnsi="Georgia"/>
          <w:b/>
          <w:bCs/>
          <w:color w:val="5C6B7A"/>
          <w:sz w:val="18"/>
          <w:szCs w:val="18"/>
        </w:rPr>
        <w:t xml:space="preserve">04  </w:t>
      </w:r>
      <w:r>
        <w:rPr>
          <w:rFonts w:ascii="Georgia" w:cs="Georgia" w:eastAsia="Georgia" w:hAnsi="Georgia"/>
          <w:b/>
          <w:bCs/>
          <w:color w:val="1B2A41"/>
          <w:sz w:val="25"/>
          <w:szCs w:val="25"/>
        </w:rPr>
        <w:t xml:space="preserve">What's Included This 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232323"/>
          <w:sz w:val="20"/>
          <w:szCs w:val="20"/>
        </w:rPr>
        <w:t xml:space="preserve">Onboarding of all 42 endpoints and 5 servers into 24/7 monitoring within weeks 1–2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232323"/>
          <w:sz w:val="20"/>
          <w:szCs w:val="20"/>
        </w:rPr>
        <w:t xml:space="preserve">Managed backup configuration for both office locations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232323"/>
          <w:sz w:val="20"/>
          <w:szCs w:val="20"/>
        </w:rPr>
        <w:t xml:space="preserve">4-hour response SLA during business hours; after-hours emergency line for critical outages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color w:val="232323"/>
          <w:sz w:val="20"/>
          <w:szCs w:val="20"/>
        </w:rPr>
        <w:t xml:space="preserve">Named account engineer — not a rotating helpdesk queue</w:t>
      </w:r>
    </w:p>
    <w:p>
      <w:pPr>
        <w:spacing w:after="110" w:before="260"/>
      </w:pPr>
      <w:r>
        <w:rPr>
          <w:rFonts w:ascii="Georgia" w:cs="Georgia" w:eastAsia="Georgia" w:hAnsi="Georgia"/>
          <w:b/>
          <w:bCs/>
          <w:color w:val="5C6B7A"/>
          <w:sz w:val="18"/>
          <w:szCs w:val="18"/>
        </w:rPr>
        <w:t xml:space="preserve">05  </w:t>
      </w:r>
      <w:r>
        <w:rPr>
          <w:rFonts w:ascii="Georgia" w:cs="Georgia" w:eastAsia="Georgia" w:hAnsi="Georgia"/>
          <w:b/>
          <w:bCs/>
          <w:color w:val="1B2A41"/>
          <w:sz w:val="25"/>
          <w:szCs w:val="25"/>
        </w:rPr>
        <w:t xml:space="preserve">Next Steps</w:t>
      </w:r>
    </w:p>
    <w:p>
      <w:pPr>
        <w:spacing w:after="160"/>
      </w:pPr>
      <w:r>
        <w:rPr>
          <w:rFonts w:ascii="Georgia" w:cs="Georgia" w:eastAsia="Georgia" w:hAnsi="Georgia"/>
          <w:color w:val="232323"/>
          <w:sz w:val="21"/>
          <w:szCs w:val="21"/>
        </w:rPr>
        <w:t xml:space="preserve">Confirm by reply or call (614) 555-0193 — we'll schedule your network &amp; security assessment within 5 business days of sign-off, with a 30-day check-in to confirm SLA response times are being met.</w:t>
      </w:r>
    </w:p>
    <w:p>
      <w:pPr>
        <w:spacing w:before="200"/>
      </w:pPr>
      <w:r>
        <w:rPr>
          <w:rFonts w:ascii="Georgia" w:cs="Georgia" w:eastAsia="Georgia" w:hAnsi="Georgia"/>
          <w:i/>
          <w:iCs/>
          <w:color w:val="6B6B6B"/>
          <w:sz w:val="17"/>
          <w:szCs w:val="17"/>
        </w:rPr>
        <w:t xml:space="preserve">This document is a proposal, not a signed services agreement — it reflects our best pricing based on the environment details you've shared, confirmed once you accept. A brief services agreement follows separately at signing.</w:t>
      </w:r>
    </w:p>
    <w:sectPr>
      <w:headerReference w:type="default" r:id="rId7"/>
      <w:footerReference w:type="default" r:id="rId8"/>
      <w:pgSz w:w="12240" w:h="15840" w:orient="portrait"/>
      <w:pgMar w:top="1224" w:right="1224" w:bottom="1224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6"/>
      </w:pBdr>
      <w:jc w:val="center"/>
    </w:pPr>
    <w:r>
      <w:rPr>
        <w:rFonts w:ascii="Georgia" w:cs="Georgia" w:eastAsia="Georgia" w:hAnsi="Georgia"/>
        <w:color w:val="8C8C8C"/>
        <w:sz w:val="15"/>
        <w:szCs w:val="15"/>
      </w:rPr>
      <w:t xml:space="preserve">Fortress IT Group  •  sales@fortressitgroup.com  •  (614) 555-0193</w:t>
    </w:r>
    <w:r>
      <w:rPr>
        <w:rFonts w:ascii="Georgia" w:cs="Georgia" w:eastAsia="Georgia" w:hAnsi="Georgia"/>
        <w:color w:val="8C8C8C"/>
        <w:sz w:val="15"/>
        <w:szCs w:val="15"/>
      </w:rPr>
      <w:t xml:space="preserve">   |   Page </w:t>
    </w:r>
    <w:r>
      <w:rPr>
        <w:rFonts w:ascii="Georgia" w:cs="Georgia" w:eastAsia="Georgia" w:hAnsi="Georgia"/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Georgia" w:cs="Georgia" w:eastAsia="Georgia" w:hAnsi="Georgia"/>
        <w:b/>
        <w:bCs/>
        <w:color w:val="1B2A41"/>
        <w:sz w:val="22"/>
        <w:szCs w:val="22"/>
      </w:rPr>
      <w:t xml:space="preserve">FORTRESS IT GROUP</w:t>
    </w:r>
  </w:p>
  <w:p>
    <w:pPr>
      <w:pBdr>
        <w:bottom w:val="single" w:color="1B2A41" w:sz="8" w:space="4"/>
      </w:pBdr>
      <w:spacing w:after="100"/>
    </w:pPr>
    <w:r>
      <w:rPr>
        <w:rFonts w:ascii="Georgia" w:cs="Georgia" w:eastAsia="Georgia" w:hAnsi="Georgia"/>
        <w:i/>
        <w:iCs/>
        <w:color w:val="5C6B7A"/>
        <w:sz w:val="15"/>
        <w:szCs w:val="15"/>
      </w:rPr>
      <w:t xml:space="preserve">Managed IT Services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2026-09-07T11:33:05.995Z</dcterms:created>
  <dcterms:modified xsi:type="dcterms:W3CDTF">2026-09-07T11:33:05.996Z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