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svg="http://schemas.microsoft.com/office/drawing/2016/SVG/main" mc:Ignorable="w14 w15 wp14">
  <w:body>
    <w:p w14:paraId="20E534FD" w14:textId="39DC2D4B">
      <w:pPr>
        <w:spacing w:before="120" w:after="40"/>
      </w:pPr>
      <w:r>
        <w:rPr>
          <w:rFonts w:ascii="Calibri" w:hAnsi="Calibri" w:eastAsia="Calibri" w:cs="Calibri"/>
          <w:b w:val="1"/>
          <w:bCs w:val="1"/>
          <w:color w:val="2B2B2B"/>
          <w:sz w:val="40"/>
          <w:szCs w:val="40"/>
        </w:rPr>
        <w:t xml:space="preserve">SEO &amp; Local Visibility Proposal</w:t>
      </w:r>
    </w:p>
    <w:p w14:paraId="167CEC1F" w14:textId="2C4F7108">
      <w:pPr>
        <w:spacing w:after="300"/>
      </w:pPr>
      <w:r>
        <w:rPr>
          <w:rFonts w:ascii="Calibri" w:hAnsi="Calibri" w:eastAsia="Calibri" w:cs="Calibri"/>
          <w:b w:val="1"/>
          <w:bCs w:val="1"/>
          <w:color w:val="E8622C"/>
          <w:sz w:val="23"/>
          <w:szCs w:val="23"/>
        </w:rPr>
        <w:t xml:space="preserve">Prepared for </w:t>
        <w:t xml:space="preserve">Bloom and Co</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120"/>
        <w:gridCol w:w="3120"/>
        <w:gridCol w:w="3120"/>
      </w:tblGrid>
      <w:tr>
        <w:tc>
          <w:tcPr>
            <w:tcW w:w="2000" w:type="dxa"/>
            <w:tcBorders>
              <w:top w:val="single" w:sz="4" w:color="E6E0DC"/>
              <w:left w:val="single" w:sz="4" w:color="E6E0DC"/>
              <w:bottom w:val="single" w:sz="4" w:color="E6E0DC"/>
              <w:right w:val="single" w:sz="4" w:color="E6E0DC"/>
            </w:tcBorders>
            <w:shd w:val="clear" w:fill="F7F3F1" w:color="auto"/>
            <w:tcMar>
              <w:top w:w="100" w:type="dxa"/>
              <w:left w:w="140" w:type="dxa"/>
              <w:bottom w:w="100" w:type="dxa"/>
              <w:right w:w="140" w:type="dxa"/>
            </w:tcMar>
            <w:vAlign w:val="center"/>
          </w:tcPr>
          <w:p w14:paraId="016B3277" w14:textId="65B39E91">
            <w:pPr>
              <w:jc w:val="left"/>
            </w:pPr>
            <w:r>
              <w:rPr>
                <w:rFonts w:ascii="Calibri" w:hAnsi="Calibri" w:eastAsia="Calibri" w:cs="Calibri"/>
                <w:b w:val="1"/>
                <w:bCs w:val="1"/>
                <w:color w:val="2B2B2B"/>
                <w:sz w:val="17"/>
                <w:szCs w:val="17"/>
              </w:rPr>
              <w:t xml:space="preserve">Date</w:t>
            </w:r>
          </w:p>
        </w:tc>
        <w:tc>
          <w:tcPr>
            <w:tcW w:w="2000" w:type="dxa"/>
            <w:tcBorders>
              <w:top w:val="single" w:sz="4" w:color="E6E0DC"/>
              <w:left w:val="single" w:sz="4" w:color="E6E0DC"/>
              <w:bottom w:val="single" w:sz="4" w:color="E6E0DC"/>
              <w:right w:val="single" w:sz="4" w:color="E6E0DC"/>
            </w:tcBorders>
            <w:shd w:val="clear" w:fill="F7F3F1" w:color="auto"/>
            <w:tcMar>
              <w:top w:w="100" w:type="dxa"/>
              <w:left w:w="140" w:type="dxa"/>
              <w:bottom w:w="100" w:type="dxa"/>
              <w:right w:w="140" w:type="dxa"/>
            </w:tcMar>
            <w:vAlign w:val="center"/>
          </w:tcPr>
          <w:p w14:paraId="14BC90E1" w14:textId="6CF2DD3C">
            <w:pPr>
              <w:jc w:val="left"/>
            </w:pPr>
            <w:r>
              <w:rPr>
                <w:rFonts w:ascii="Calibri" w:hAnsi="Calibri" w:eastAsia="Calibri" w:cs="Calibri"/>
                <w:b w:val="1"/>
                <w:bCs w:val="1"/>
                <w:color w:val="2B2B2B"/>
                <w:sz w:val="17"/>
                <w:szCs w:val="17"/>
              </w:rPr>
              <w:t xml:space="preserve">Prepared By</w:t>
            </w:r>
          </w:p>
        </w:tc>
        <w:tc>
          <w:tcPr>
            <w:tcW w:w="2000" w:type="dxa"/>
            <w:tcBorders>
              <w:top w:val="single" w:sz="4" w:color="E6E0DC"/>
              <w:left w:val="single" w:sz="4" w:color="E6E0DC"/>
              <w:bottom w:val="single" w:sz="4" w:color="E6E0DC"/>
              <w:right w:val="single" w:sz="4" w:color="E6E0DC"/>
            </w:tcBorders>
            <w:shd w:val="clear" w:fill="F7F3F1" w:color="auto"/>
            <w:tcMar>
              <w:top w:w="100" w:type="dxa"/>
              <w:left w:w="140" w:type="dxa"/>
              <w:bottom w:w="100" w:type="dxa"/>
              <w:right w:w="140" w:type="dxa"/>
            </w:tcMar>
            <w:vAlign w:val="center"/>
          </w:tcPr>
          <w:p w14:paraId="63F55637" w14:textId="5D0F8FA4">
            <w:pPr>
              <w:jc w:val="left"/>
            </w:pPr>
            <w:r>
              <w:rPr>
                <w:rFonts w:ascii="Calibri" w:hAnsi="Calibri" w:eastAsia="Calibri" w:cs="Calibri"/>
                <w:b w:val="1"/>
                <w:bCs w:val="1"/>
                <w:color w:val="2B2B2B"/>
                <w:sz w:val="17"/>
                <w:szCs w:val="17"/>
              </w:rPr>
              <w:t xml:space="preserve">Proposal Valid Until</w:t>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6131CDBF" w14:textId="4F838AE7">
            <w:pPr>
              <w:jc w:val="left"/>
            </w:pP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13DAD87B" w14:textId="74FAB451">
            <w:pPr>
              <w:jc w:val="left"/>
            </w:pPr>
            <w:r>
              <w:rPr>
                <w:rFonts w:ascii="Calibri" w:hAnsi="Calibri" w:eastAsia="Calibri" w:cs="Calibri"/>
                <w:color w:val="2B2B2B"/>
                <w:sz w:val="18"/>
                <w:szCs w:val="18"/>
              </w:rPr>
              <w:t xml:space="preserve">Northstar Digital Strategy Team</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67A0E001" w14:textId="509F6F87">
            <w:pPr>
              <w:jc w:val="left"/>
            </w:pPr>
            <w:r>
              <w:rPr>
                <w:rFonts w:ascii="Calibri" w:hAnsi="Calibri" w:eastAsia="Calibri" w:cs="Calibri"/>
                <w:color w:val="2B2B2B"/>
                <w:sz w:val="18"/>
                <w:szCs w:val="18"/>
              </w:rPr>
              <w:t xml:space="preserve"> (</w:t>
              <w:t xml:space="preserve">14</w:t>
              <w:t xml:space="preserve"> days)</w:t>
            </w:r>
          </w:p>
        </w:tc>
      </w:tr>
    </w:tbl>
    <w:p w14:paraId="076AF761" w14:textId="2CFFDBF6">
      <w:pPr>
        <w:spacing w:before="320" w:after="100"/>
      </w:pPr>
      <w:r>
        <w:rPr>
          <w:rFonts w:ascii="Calibri" w:hAnsi="Calibri" w:eastAsia="Calibri" w:cs="Calibri"/>
          <w:b w:val="1"/>
          <w:bCs w:val="1"/>
          <w:color w:val="E8622C"/>
          <w:sz w:val="26"/>
          <w:szCs w:val="26"/>
        </w:rPr>
        <w:t xml:space="preserve">Where You Stand Today</w:t>
      </w:r>
    </w:p>
    <w:p w14:paraId="1F2E3C6A" w14:textId="2D8E283D">
      <w:pPr>
        <w:spacing w:after="160"/>
      </w:pPr>
      <w:r>
        <w:rPr>
          <w:rFonts w:ascii="Calibri" w:hAnsi="Calibri" w:eastAsia="Calibri" w:cs="Calibri"/>
          <w:color w:val="2B2B2B"/>
          <w:sz w:val="21"/>
          <w:szCs w:val="21"/>
        </w:rPr>
        <w:t xml:space="preserve">Thanks for reaching out — you mentioned Bloom and Co now has two dental locations in Austin and isn't showing up when local patients search on Google. That's a common gap at your stage: single-location SEO tactics stop working once a second location enters the picture, because you're now competing for local pack visibility in two separate map areas at once. Below is the package built for exactly that situation, along with what it costs and what's included.</w:t>
      </w:r>
    </w:p>
    <w:p w14:paraId="5AE998D0" w14:textId="3DC48995">
      <w:pPr>
        <w:spacing w:before="240" w:after="100"/>
      </w:pPr>
      <w:r>
        <w:rPr>
          <w:rFonts w:ascii="Calibri" w:hAnsi="Calibri" w:eastAsia="Calibri" w:cs="Calibri"/>
          <w:b w:val="1"/>
          <w:bCs w:val="1"/>
          <w:color w:val="E8622C"/>
          <w:sz w:val="26"/>
          <w:szCs w:val="26"/>
        </w:rPr>
        <w:t xml:space="preserve">Recommended Package: </w:t>
        <w:t xml:space="preserve">Growth</w:t>
      </w:r>
    </w:p>
    <w:p w14:paraId="17DAD3E2" w14:textId="14C6B97E">
      <w:pPr>
        <w:spacing w:after="160"/>
      </w:pPr>
      <w:r>
        <w:rPr>
          <w:rFonts w:ascii="Calibri" w:hAnsi="Calibri" w:eastAsia="Calibri" w:cs="Calibri"/>
          <w:color w:val="2B2B2B"/>
          <w:sz w:val="21"/>
          <w:szCs w:val="21"/>
        </w:rPr>
        <w:t xml:space="preserve">Based on your two locations, Growth is the right fit — Local only supports a single location, and Authority is built for franchise-scale accounts. Growth covers both of your clinics under one plan with room to add a third location later without changing tiers.</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120"/>
        <w:gridCol w:w="3120"/>
        <w:gridCol w:w="3120"/>
      </w:tblGrid>
      <w:tr>
        <w:tc>
          <w:tcPr>
            <w:tcW w:w="2000" w:type="dxa"/>
            <w:tcBorders>
              <w:top w:val="single" w:sz="4" w:color="E6E0DC"/>
              <w:left w:val="single" w:sz="4" w:color="E6E0DC"/>
              <w:bottom w:val="single" w:sz="4" w:color="E6E0DC"/>
              <w:right w:val="single" w:sz="4" w:color="E6E0DC"/>
            </w:tcBorders>
            <w:shd w:val="clear" w:fill="F7F3F1" w:color="auto"/>
            <w:tcMar>
              <w:top w:w="100" w:type="dxa"/>
              <w:left w:w="140" w:type="dxa"/>
              <w:bottom w:w="100" w:type="dxa"/>
              <w:right w:w="140" w:type="dxa"/>
            </w:tcMar>
            <w:vAlign w:val="center"/>
          </w:tcPr>
          <w:p w14:paraId="6B26DED0" w14:textId="3726D192">
            <w:pPr>
              <w:jc w:val="center"/>
            </w:pPr>
            <w:r>
              <w:rPr>
                <w:rFonts w:ascii="Calibri" w:hAnsi="Calibri" w:eastAsia="Calibri" w:cs="Calibri"/>
                <w:b w:val="1"/>
                <w:bCs w:val="1"/>
                <w:color w:val="2B2B2B"/>
                <w:sz w:val="19"/>
                <w:szCs w:val="19"/>
              </w:rPr>
              <w:t xml:space="preserve">Local</w:t>
            </w:r>
          </w:p>
        </w:tc>
        <w:tc>
          <w:tcPr>
            <w:tcW w:w="2000" w:type="dxa"/>
            <w:tcBorders>
              <w:top w:val="single" w:sz="4" w:color="E6E0DC"/>
              <w:left w:val="single" w:sz="4" w:color="E6E0DC"/>
              <w:bottom w:val="single" w:sz="4" w:color="E6E0DC"/>
              <w:right w:val="single" w:sz="4" w:color="E6E0DC"/>
            </w:tcBorders>
            <w:shd w:val="clear" w:fill="E8622C" w:color="auto"/>
            <w:tcMar>
              <w:top w:w="100" w:type="dxa"/>
              <w:left w:w="140" w:type="dxa"/>
              <w:bottom w:w="100" w:type="dxa"/>
              <w:right w:w="140" w:type="dxa"/>
            </w:tcMar>
            <w:vAlign w:val="center"/>
          </w:tcPr>
          <w:p w14:paraId="6FE4B467" w14:textId="356A40DB">
            <w:pPr>
              <w:jc w:val="center"/>
            </w:pPr>
            <w:r>
              <w:rPr>
                <w:rFonts w:ascii="Calibri" w:hAnsi="Calibri" w:eastAsia="Calibri" w:cs="Calibri"/>
                <w:b w:val="1"/>
                <w:bCs w:val="1"/>
                <w:color w:val="FFFFFF"/>
                <w:sz w:val="19"/>
                <w:szCs w:val="19"/>
              </w:rPr>
              <w:t xml:space="preserve">Growth</w:t>
              <w:t xml:space="preserve">  — Recommended</w:t>
            </w:r>
          </w:p>
        </w:tc>
        <w:tc>
          <w:tcPr>
            <w:tcW w:w="2000" w:type="dxa"/>
            <w:tcBorders>
              <w:top w:val="single" w:sz="4" w:color="E6E0DC"/>
              <w:left w:val="single" w:sz="4" w:color="E6E0DC"/>
              <w:bottom w:val="single" w:sz="4" w:color="E6E0DC"/>
              <w:right w:val="single" w:sz="4" w:color="E6E0DC"/>
            </w:tcBorders>
            <w:shd w:val="clear" w:fill="F7F3F1" w:color="auto"/>
            <w:tcMar>
              <w:top w:w="100" w:type="dxa"/>
              <w:left w:w="140" w:type="dxa"/>
              <w:bottom w:w="100" w:type="dxa"/>
              <w:right w:w="140" w:type="dxa"/>
            </w:tcMar>
            <w:vAlign w:val="center"/>
          </w:tcPr>
          <w:p w14:paraId="4796D03A" w14:textId="21B210A7">
            <w:pPr>
              <w:jc w:val="center"/>
            </w:pPr>
            <w:r>
              <w:rPr>
                <w:rFonts w:ascii="Calibri" w:hAnsi="Calibri" w:eastAsia="Calibri" w:cs="Calibri"/>
                <w:b w:val="1"/>
                <w:bCs w:val="1"/>
                <w:color w:val="2B2B2B"/>
                <w:sz w:val="19"/>
                <w:szCs w:val="19"/>
              </w:rPr>
              <w:t xml:space="preserve">Authority</w:t>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0A7C40D9" w14:textId="22962113">
            <w:pPr>
              <w:jc w:val="center"/>
            </w:pPr>
            <w:r>
              <w:rPr>
                <w:rFonts w:ascii="Calibri" w:hAnsi="Calibri" w:eastAsia="Calibri" w:cs="Calibri"/>
                <w:color w:val="2B2B2B"/>
                <w:sz w:val="19"/>
                <w:szCs w:val="19"/>
              </w:rPr>
              <w:t xml:space="preserve">$1,000/mo</w:t>
            </w:r>
          </w:p>
        </w:tc>
        <w:tc>
          <w:tcPr>
            <w:tcW w:w="2000" w:type="dxa"/>
            <w:tcBorders>
              <w:top w:val="single" w:sz="4" w:color="E6E0DC"/>
              <w:left w:val="single" w:sz="4" w:color="E6E0DC"/>
              <w:bottom w:val="single" w:sz="4" w:color="E6E0DC"/>
              <w:right w:val="single" w:sz="4" w:color="E6E0DC"/>
            </w:tcBorders>
            <w:shd w:val="clear" w:fill="FCE7DD" w:color="auto"/>
            <w:tcMar>
              <w:top w:w="100" w:type="dxa"/>
              <w:left w:w="140" w:type="dxa"/>
              <w:bottom w:w="100" w:type="dxa"/>
              <w:right w:w="140" w:type="dxa"/>
            </w:tcMar>
            <w:vAlign w:val="center"/>
          </w:tcPr>
          <w:p w14:paraId="7A45ABA5" w14:textId="5A8F3905">
            <w:pPr>
              <w:jc w:val="center"/>
            </w:pPr>
            <w:r>
              <w:rPr>
                <w:rFonts w:ascii="Calibri" w:hAnsi="Calibri" w:eastAsia="Calibri" w:cs="Calibri"/>
                <w:b w:val="1"/>
                <w:bCs w:val="1"/>
                <w:color w:val="2B2B2B"/>
                <w:sz w:val="19"/>
                <w:szCs w:val="19"/>
              </w:rPr>
              <w:t xml:space="preserve">$3,000/mo</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726D10A5" w14:textId="13578178">
            <w:pPr>
              <w:jc w:val="center"/>
            </w:pPr>
            <w:r>
              <w:rPr>
                <w:rFonts w:ascii="Calibri" w:hAnsi="Calibri" w:eastAsia="Calibri" w:cs="Calibri"/>
                <w:color w:val="2B2B2B"/>
                <w:sz w:val="19"/>
                <w:szCs w:val="19"/>
              </w:rPr>
              <w:t xml:space="preserve">$8,000/mo</w:t>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41966D41" w14:textId="2BC5A9F2">
            <w:pPr>
              <w:jc w:val="center"/>
            </w:pPr>
            <w:r>
              <w:rPr>
                <w:rFonts w:ascii="Calibri" w:hAnsi="Calibri" w:eastAsia="Calibri" w:cs="Calibri"/>
                <w:color w:val="2B2B2B"/>
                <w:sz w:val="19"/>
                <w:szCs w:val="19"/>
              </w:rPr>
              <w:t xml:space="preserve">1 location</w:t>
            </w:r>
          </w:p>
        </w:tc>
        <w:tc>
          <w:tcPr>
            <w:tcW w:w="2000" w:type="dxa"/>
            <w:tcBorders>
              <w:top w:val="single" w:sz="4" w:color="E6E0DC"/>
              <w:left w:val="single" w:sz="4" w:color="E6E0DC"/>
              <w:bottom w:val="single" w:sz="4" w:color="E6E0DC"/>
              <w:right w:val="single" w:sz="4" w:color="E6E0DC"/>
            </w:tcBorders>
            <w:shd w:val="clear" w:fill="FCE7DD" w:color="auto"/>
            <w:tcMar>
              <w:top w:w="100" w:type="dxa"/>
              <w:left w:w="140" w:type="dxa"/>
              <w:bottom w:w="100" w:type="dxa"/>
              <w:right w:w="140" w:type="dxa"/>
            </w:tcMar>
            <w:vAlign w:val="center"/>
          </w:tcPr>
          <w:p w14:paraId="6961A006" w14:textId="099B6E97">
            <w:pPr>
              <w:jc w:val="center"/>
            </w:pPr>
            <w:r>
              <w:rPr>
                <w:rFonts w:ascii="Calibri" w:hAnsi="Calibri" w:eastAsia="Calibri" w:cs="Calibri"/>
                <w:color w:val="2B2B2B"/>
                <w:sz w:val="19"/>
                <w:szCs w:val="19"/>
              </w:rPr>
              <w:t xml:space="preserve">Up to 3 locations</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405DFF41" w14:textId="62490457">
            <w:pPr>
              <w:jc w:val="center"/>
            </w:pPr>
            <w:r>
              <w:rPr>
                <w:rFonts w:ascii="Calibri" w:hAnsi="Calibri" w:eastAsia="Calibri" w:cs="Calibri"/>
                <w:color w:val="2B2B2B"/>
                <w:sz w:val="19"/>
                <w:szCs w:val="19"/>
              </w:rPr>
              <w:t xml:space="preserve">Unlimited locations</w:t>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1D6D9B7F" w14:textId="0EFCBCE4">
            <w:pPr>
              <w:jc w:val="center"/>
            </w:pPr>
            <w:r>
              <w:rPr>
                <w:rFonts w:ascii="Calibri" w:hAnsi="Calibri" w:eastAsia="Calibri" w:cs="Calibri"/>
                <w:color w:val="2B2B2B"/>
                <w:sz w:val="19"/>
                <w:szCs w:val="19"/>
              </w:rPr>
              <w:t xml:space="preserve">1 blog post/mo</w:t>
            </w:r>
          </w:p>
        </w:tc>
        <w:tc>
          <w:tcPr>
            <w:tcW w:w="2000" w:type="dxa"/>
            <w:tcBorders>
              <w:top w:val="single" w:sz="4" w:color="E6E0DC"/>
              <w:left w:val="single" w:sz="4" w:color="E6E0DC"/>
              <w:bottom w:val="single" w:sz="4" w:color="E6E0DC"/>
              <w:right w:val="single" w:sz="4" w:color="E6E0DC"/>
            </w:tcBorders>
            <w:shd w:val="clear" w:fill="FCE7DD" w:color="auto"/>
            <w:tcMar>
              <w:top w:w="100" w:type="dxa"/>
              <w:left w:w="140" w:type="dxa"/>
              <w:bottom w:w="100" w:type="dxa"/>
              <w:right w:w="140" w:type="dxa"/>
            </w:tcMar>
            <w:vAlign w:val="center"/>
          </w:tcPr>
          <w:p w14:paraId="294DA176" w14:textId="376B1822">
            <w:pPr>
              <w:jc w:val="center"/>
            </w:pPr>
            <w:r>
              <w:rPr>
                <w:rFonts w:ascii="Calibri" w:hAnsi="Calibri" w:eastAsia="Calibri" w:cs="Calibri"/>
                <w:color w:val="2B2B2B"/>
                <w:sz w:val="19"/>
                <w:szCs w:val="19"/>
              </w:rPr>
              <w:t xml:space="preserve">4 content pieces/mo</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4BBCFEAB" w14:textId="5DB28543">
            <w:pPr>
              <w:jc w:val="center"/>
            </w:pPr>
            <w:r>
              <w:rPr>
                <w:rFonts w:ascii="Calibri" w:hAnsi="Calibri" w:eastAsia="Calibri" w:cs="Calibri"/>
                <w:color w:val="2B2B2B"/>
                <w:sz w:val="19"/>
                <w:szCs w:val="19"/>
              </w:rPr>
              <w:t xml:space="preserve">Weekly content</w:t>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23D1CB6C" w14:textId="564CAA50">
            <w:pPr>
              <w:jc w:val="center"/>
            </w:pPr>
            <w:r>
              <w:rPr>
                <w:rFonts w:ascii="Calibri" w:hAnsi="Calibri" w:eastAsia="Calibri" w:cs="Calibri"/>
                <w:color w:val="2B2B2B"/>
                <w:sz w:val="19"/>
                <w:szCs w:val="19"/>
              </w:rPr>
              <w:t xml:space="preserve">—</w:t>
            </w:r>
          </w:p>
        </w:tc>
        <w:tc>
          <w:tcPr>
            <w:tcW w:w="2000" w:type="dxa"/>
            <w:tcBorders>
              <w:top w:val="single" w:sz="4" w:color="E6E0DC"/>
              <w:left w:val="single" w:sz="4" w:color="E6E0DC"/>
              <w:bottom w:val="single" w:sz="4" w:color="E6E0DC"/>
              <w:right w:val="single" w:sz="4" w:color="E6E0DC"/>
            </w:tcBorders>
            <w:shd w:val="clear" w:fill="FCE7DD" w:color="auto"/>
            <w:tcMar>
              <w:top w:w="100" w:type="dxa"/>
              <w:left w:w="140" w:type="dxa"/>
              <w:bottom w:w="100" w:type="dxa"/>
              <w:right w:w="140" w:type="dxa"/>
            </w:tcMar>
            <w:vAlign w:val="center"/>
          </w:tcPr>
          <w:p w14:paraId="520D564F" w14:textId="6283E8CD">
            <w:pPr>
              <w:jc w:val="center"/>
            </w:pPr>
            <w:r>
              <w:rPr>
                <w:rFonts w:ascii="Calibri" w:hAnsi="Calibri" w:eastAsia="Calibri" w:cs="Calibri"/>
                <w:color w:val="2B2B2B"/>
                <w:sz w:val="19"/>
                <w:szCs w:val="19"/>
              </w:rPr>
              <w:t xml:space="preserve">Citation building</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5CB597D8" w14:textId="0371537B">
            <w:pPr>
              <w:jc w:val="center"/>
            </w:pPr>
            <w:r>
              <w:rPr>
                <w:rFonts w:ascii="Calibri" w:hAnsi="Calibri" w:eastAsia="Calibri" w:cs="Calibri"/>
                <w:color w:val="2B2B2B"/>
                <w:sz w:val="19"/>
                <w:szCs w:val="19"/>
              </w:rPr>
              <w:t xml:space="preserve">Dedicated strategist</w:t>
            </w:r>
          </w:p>
        </w:tc>
      </w:tr>
    </w:tbl>
    <w:p w14:paraId="715AB35D" w14:textId="2EE7CFBA">
      <w:pPr>
        <w:spacing w:before="320" w:after="100"/>
      </w:pPr>
      <w:r>
        <w:rPr>
          <w:rFonts w:ascii="Calibri" w:hAnsi="Calibri" w:eastAsia="Calibri" w:cs="Calibri"/>
          <w:b w:val="1"/>
          <w:bCs w:val="1"/>
          <w:color w:val="E8622C"/>
          <w:sz w:val="26"/>
          <w:szCs w:val="26"/>
        </w:rPr>
        <w:t xml:space="preserve">Included vs. Not Included — </w:t>
        <w:t xml:space="preserve">Growth</w:t>
        <w:t xml:space="preserve"> Tier</w:t>
      </w:r>
    </w:p>
    <w:p w14:paraId="4F1EA821" w14:textId="6DFC7218">
      <w:pPr>
        <w:pStyle w:val="ListParagraph"/>
        <w:spacing w:after="60"/>
      </w:pPr>
      <w:r>
        <w:rPr>
          <w:rFonts w:ascii="Calibri" w:hAnsi="Calibri" w:eastAsia="Calibri" w:cs="Calibri"/>
          <w:color w:val="2B2B2B"/>
          <w:sz w:val="20"/>
          <w:szCs w:val="20"/>
        </w:rPr>
        <w:t xml:space="preserve">Included: Google Business Profile management for both dental locations</w:t>
        <w:br/>
        <w:t xml:space="preserve">Included: On-page SEO across your site, citation building across major directories</w:t>
        <w:br/>
        <w:t xml:space="preserve">Included: 4 content pieces/month, quarterly strategy call, monthly performance report</w:t>
        <w:br/>
        <w:t xml:space="preserve">Not included: Paid ad management (Google/Meta ads) — available as a separate engagement</w:t>
        <w:br/>
        <w:t xml:space="preserve">Not included: A dedicated 1:1 strategist — that begins at the Authority tier</w:t>
      </w:r>
    </w:p>
    <w:p w14:paraId="7F8D8FBA" w14:textId="519EA588">
      <w:pPr>
        <w:spacing w:before="320" w:after="100"/>
      </w:pPr>
      <w:r>
        <w:rPr>
          <w:rFonts w:ascii="Calibri" w:hAnsi="Calibri" w:eastAsia="Calibri" w:cs="Calibri"/>
          <w:b w:val="1"/>
          <w:bCs w:val="1"/>
          <w:color w:val="E8622C"/>
          <w:sz w:val="26"/>
          <w:szCs w:val="26"/>
        </w:rPr>
        <w:t xml:space="preserve">Your Investment</w:t>
      </w:r>
    </w:p>
    <w:p w14:paraId="0CFD7446" w14:textId="0A9E95B0">
      <w:pPr>
        <w:spacing w:after="160"/>
      </w:pPr>
      <w:r>
        <w:rPr>
          <w:rFonts w:ascii="Calibri" w:hAnsi="Calibri" w:eastAsia="Calibri" w:cs="Calibri"/>
          <w:color w:val="2B2B2B"/>
          <w:sz w:val="21"/>
          <w:szCs w:val="21"/>
        </w:rPr>
        <w:t xml:space="preserve">You mentioned you'd rather pay annually than track a monthly invoice — that qualifies for our annual prepay discount, applied below.</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5760"/>
        <w:gridCol w:w="3600"/>
      </w:tblGrid>
      <w:tr>
        <w:tc>
          <w:tcPr>
            <w:tcW w:w="2000" w:type="dxa"/>
            <w:tcBorders>
              <w:top w:val="single" w:sz="4" w:color="E6E0DC"/>
              <w:left w:val="single" w:sz="4" w:color="E6E0DC"/>
              <w:bottom w:val="single" w:sz="4" w:color="E6E0DC"/>
              <w:right w:val="single" w:sz="4" w:color="E6E0DC"/>
            </w:tcBorders>
            <w:shd w:val="clear" w:fill="F7F3F1" w:color="auto"/>
            <w:tcMar>
              <w:top w:w="100" w:type="dxa"/>
              <w:left w:w="140" w:type="dxa"/>
              <w:bottom w:w="100" w:type="dxa"/>
              <w:right w:w="140" w:type="dxa"/>
            </w:tcMar>
            <w:vAlign w:val="center"/>
          </w:tcPr>
          <w:p w14:paraId="1EB2F9FB" w14:textId="3E7DC9EB">
            <w:pPr>
              <w:jc w:val="left"/>
            </w:pPr>
            <w:r>
              <w:rPr>
                <w:rFonts w:ascii="Calibri" w:hAnsi="Calibri" w:eastAsia="Calibri" w:cs="Calibri"/>
                <w:b w:val="1"/>
                <w:bCs w:val="1"/>
                <w:color w:val="2B2B2B"/>
                <w:sz w:val="19"/>
                <w:szCs w:val="19"/>
              </w:rPr>
              <w:t xml:space="preserve">Line Item</w:t>
            </w:r>
          </w:p>
        </w:tc>
        <w:tc>
          <w:tcPr>
            <w:tcW w:w="2000" w:type="dxa"/>
            <w:tcBorders>
              <w:top w:val="single" w:sz="4" w:color="E6E0DC"/>
              <w:left w:val="single" w:sz="4" w:color="E6E0DC"/>
              <w:bottom w:val="single" w:sz="4" w:color="E6E0DC"/>
              <w:right w:val="single" w:sz="4" w:color="E6E0DC"/>
            </w:tcBorders>
            <w:shd w:val="clear" w:fill="F7F3F1" w:color="auto"/>
            <w:tcMar>
              <w:top w:w="100" w:type="dxa"/>
              <w:left w:w="140" w:type="dxa"/>
              <w:bottom w:w="100" w:type="dxa"/>
              <w:right w:w="140" w:type="dxa"/>
            </w:tcMar>
            <w:vAlign w:val="center"/>
          </w:tcPr>
          <w:p w14:paraId="74BF3FA8" w14:textId="10E1B3B5">
            <w:pPr>
              <w:jc w:val="right"/>
            </w:pPr>
            <w:r>
              <w:rPr>
                <w:rFonts w:ascii="Calibri" w:hAnsi="Calibri" w:eastAsia="Calibri" w:cs="Calibri"/>
                <w:b w:val="1"/>
                <w:bCs w:val="1"/>
                <w:color w:val="2B2B2B"/>
                <w:sz w:val="19"/>
                <w:szCs w:val="19"/>
              </w:rPr>
              <w:t xml:space="preserve">Amount</w:t>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11575AEA" w14:textId="6A3F26D7">
            <w:pPr>
              <w:jc w:val="left"/>
            </w:pPr>
            <w:r>
              <w:rPr>
                <w:rFonts w:ascii="Calibri" w:hAnsi="Calibri" w:eastAsia="Calibri" w:cs="Calibri"/>
                <w:color w:val="2B2B2B"/>
                <w:sz w:val="19"/>
                <w:szCs w:val="19"/>
              </w:rPr>
              <w:t xml:space="preserve">Growth</w:t>
              <w:t xml:space="preserve"> Package — </w:t>
              <w:t xml:space="preserve">12</w:t>
              <w:t xml:space="preserve"> months × </w:t>
              <w:t xml:space="preserve">$3,000/mo</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6FFECA29" w14:textId="757DF2E1">
            <w:pPr>
              <w:jc w:val="right"/>
            </w:pPr>
            <w:r>
              <w:rPr>
                <w:rFonts w:ascii="Calibri" w:hAnsi="Calibri" w:eastAsia="Calibri" w:cs="Calibri"/>
                <w:color w:val="2B2B2B"/>
                <w:sz w:val="19"/>
                <w:szCs w:val="19"/>
              </w:rPr>
              <w:t xml:space="preserve">$36,000.00</w:t>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43A9D9B2" w14:textId="63AB71AB">
            <w:pPr>
              <w:jc w:val="left"/>
            </w:pPr>
            <w:r>
              <w:t xml:space="preserve"/>
            </w:r>
            <w:r>
              <w:rPr>
                <w:rFonts w:ascii="Calibri" w:hAnsi="Calibri" w:eastAsia="Calibri" w:cs="Calibri"/>
                <w:color w:val="2B2B2B"/>
                <w:sz w:val="19"/>
                <w:szCs w:val="19"/>
              </w:rPr>
              <w:t xml:space="preserve">Annual prepay discount (</w:t>
              <w:t xml:space="preserve">10%</w:t>
              <w:t xml:space="preserve">)</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4B615BD7" w14:textId="45E615DA">
            <w:pPr>
              <w:jc w:val="right"/>
            </w:pPr>
            <w:r>
              <w:rPr>
                <w:rFonts w:ascii="Calibri" w:hAnsi="Calibri" w:eastAsia="Calibri" w:cs="Calibri"/>
                <w:color w:val="2B2B2B"/>
                <w:sz w:val="19"/>
                <w:szCs w:val="19"/>
              </w:rPr>
              <w:t xml:space="preserve">−</w:t>
              <w:t xml:space="preserve">$3,600.00</w:t>
            </w:r>
            <w:r>
              <w:t xml:space="preserve"/>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376AD474" w14:textId="7E094C19">
            <w:pPr>
              <w:jc w:val="left"/>
            </w:pPr>
            <w:r>
              <w:rPr>
                <w:rFonts w:ascii="Calibri" w:hAnsi="Calibri" w:eastAsia="Calibri" w:cs="Calibri"/>
                <w:b w:val="1"/>
                <w:bCs w:val="1"/>
                <w:color w:val="2B2B2B"/>
                <w:sz w:val="19"/>
                <w:szCs w:val="19"/>
              </w:rPr>
              <w:t xml:space="preserve">Subtotal</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1062CDB2" w14:textId="67B02C13">
            <w:pPr>
              <w:jc w:val="right"/>
            </w:pPr>
            <w:r>
              <w:rPr>
                <w:rFonts w:ascii="Calibri" w:hAnsi="Calibri" w:eastAsia="Calibri" w:cs="Calibri"/>
                <w:b w:val="1"/>
                <w:bCs w:val="1"/>
                <w:color w:val="2B2B2B"/>
                <w:sz w:val="19"/>
                <w:szCs w:val="19"/>
              </w:rPr>
              <w:t xml:space="preserve">$32,400.00</w:t>
            </w:r>
          </w:p>
        </w:tc>
      </w:tr>
      <w:tr>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4714A061" w14:textId="5498A4E8">
            <w:pPr>
              <w:jc w:val="left"/>
            </w:pPr>
            <w:r>
              <w:rPr>
                <w:rFonts w:ascii="Calibri" w:hAnsi="Calibri" w:eastAsia="Calibri" w:cs="Calibri"/>
                <w:color w:val="2B2B2B"/>
                <w:sz w:val="19"/>
                <w:szCs w:val="19"/>
              </w:rPr>
              <w:t xml:space="preserve">Texas sales tax (8.25%)</w:t>
            </w:r>
          </w:p>
        </w:tc>
        <w:tc>
          <w:tcPr>
            <w:tcW w:w="2000" w:type="dxa"/>
            <w:tcBorders>
              <w:top w:val="single" w:sz="4" w:color="E6E0DC"/>
              <w:left w:val="single" w:sz="4" w:color="E6E0DC"/>
              <w:bottom w:val="single" w:sz="4" w:color="E6E0DC"/>
              <w:right w:val="single" w:sz="4" w:color="E6E0DC"/>
            </w:tcBorders>
            <w:tcMar>
              <w:top w:w="100" w:type="dxa"/>
              <w:left w:w="140" w:type="dxa"/>
              <w:bottom w:w="100" w:type="dxa"/>
              <w:right w:w="140" w:type="dxa"/>
            </w:tcMar>
            <w:vAlign w:val="center"/>
          </w:tcPr>
          <w:p w14:paraId="5E59ED9B" w14:textId="41288898">
            <w:pPr>
              <w:jc w:val="right"/>
            </w:pPr>
            <w:r>
              <w:rPr>
                <w:rFonts w:ascii="Calibri" w:hAnsi="Calibri" w:eastAsia="Calibri" w:cs="Calibri"/>
                <w:color w:val="2B2B2B"/>
                <w:sz w:val="19"/>
                <w:szCs w:val="19"/>
              </w:rPr>
              <w:t xml:space="preserve">$2,673.00</w:t>
            </w:r>
            <w:r>
              <w:t xml:space="preserve">{/has_tax}</w:t>
            </w:r>
          </w:p>
        </w:tc>
      </w:tr>
      <w:tr>
        <w:tc>
          <w:tcPr>
            <w:tcW w:w="2000" w:type="dxa"/>
            <w:tcBorders>
              <w:top w:val="single" w:sz="4" w:color="E6E0DC"/>
              <w:left w:val="single" w:sz="4" w:color="E6E0DC"/>
              <w:bottom w:val="single" w:sz="4" w:color="E6E0DC"/>
              <w:right w:val="single" w:sz="4" w:color="E6E0DC"/>
            </w:tcBorders>
            <w:shd w:val="clear" w:fill="FCE7DD" w:color="auto"/>
            <w:tcMar>
              <w:top w:w="100" w:type="dxa"/>
              <w:left w:w="140" w:type="dxa"/>
              <w:bottom w:w="100" w:type="dxa"/>
              <w:right w:w="140" w:type="dxa"/>
            </w:tcMar>
            <w:vAlign w:val="center"/>
          </w:tcPr>
          <w:p w14:paraId="7D8F16C6" w14:textId="770CBD97">
            <w:pPr>
              <w:jc w:val="left"/>
            </w:pPr>
            <w:r>
              <w:rPr>
                <w:rFonts w:ascii="Calibri" w:hAnsi="Calibri" w:eastAsia="Calibri" w:cs="Calibri"/>
                <w:b w:val="1"/>
                <w:bCs w:val="1"/>
                <w:color w:val="2B2B2B"/>
                <w:sz w:val="19"/>
                <w:szCs w:val="19"/>
              </w:rPr>
              <w:t xml:space="preserve">Total Annual Investment</w:t>
            </w:r>
          </w:p>
        </w:tc>
        <w:tc>
          <w:tcPr>
            <w:tcW w:w="2000" w:type="dxa"/>
            <w:tcBorders>
              <w:top w:val="single" w:sz="4" w:color="E6E0DC"/>
              <w:left w:val="single" w:sz="4" w:color="E6E0DC"/>
              <w:bottom w:val="single" w:sz="4" w:color="E6E0DC"/>
              <w:right w:val="single" w:sz="4" w:color="E6E0DC"/>
            </w:tcBorders>
            <w:shd w:val="clear" w:fill="FCE7DD" w:color="auto"/>
            <w:tcMar>
              <w:top w:w="100" w:type="dxa"/>
              <w:left w:w="140" w:type="dxa"/>
              <w:bottom w:w="100" w:type="dxa"/>
              <w:right w:w="140" w:type="dxa"/>
            </w:tcMar>
            <w:vAlign w:val="center"/>
          </w:tcPr>
          <w:p w14:paraId="772C7BFB" w14:textId="0567F90B">
            <w:pPr>
              <w:jc w:val="right"/>
            </w:pPr>
            <w:r>
              <w:rPr>
                <w:rFonts w:ascii="Calibri" w:hAnsi="Calibri" w:eastAsia="Calibri" w:cs="Calibri"/>
                <w:b w:val="1"/>
                <w:bCs w:val="1"/>
                <w:color w:val="2B2B2B"/>
                <w:sz w:val="19"/>
                <w:szCs w:val="19"/>
              </w:rPr>
              <w:t xml:space="preserve">$35,073.00</w:t>
            </w:r>
          </w:p>
        </w:tc>
      </w:tr>
    </w:tbl>
    <w:p w14:paraId="6D96DB3F" w14:textId="6BC3A706">
      <w:pPr>
        <w:spacing w:after="260"/>
      </w:pPr>
      <w:r>
        <w:rPr>
          <w:rFonts w:ascii="Calibri" w:hAnsi="Calibri" w:eastAsia="Calibri" w:cs="Calibri"/>
          <w:color w:val="2B2B2B"/>
          <w:sz w:val="21"/>
          <w:szCs w:val="21"/>
        </w:rPr>
        <w:t xml:space="preserve">Equivalent to </w:t>
        <w:t xml:space="preserve">$2,922.75/month</w:t>
        <w:t xml:space="preserve">, billed as a single annual payment. </w:t>
        <w:t xml:space="preserve">Minimum initial engagement is 3 months; month-to-month thereafter.</w:t>
      </w:r>
    </w:p>
    <w:p w14:paraId="1DCAB838" w14:textId="0C6489F5">
      <w:pPr>
        <w:spacing w:before="240" w:after="100"/>
      </w:pPr>
      <w:r>
        <w:rPr>
          <w:rFonts w:ascii="Calibri" w:hAnsi="Calibri" w:eastAsia="Calibri" w:cs="Calibri"/>
          <w:b w:val="1"/>
          <w:bCs w:val="1"/>
          <w:color w:val="E8622C"/>
          <w:sz w:val="26"/>
          <w:szCs w:val="26"/>
        </w:rPr>
        <w:t xml:space="preserve">Room to Grow: Your Upgrade Path</w:t>
      </w:r>
    </w:p>
    <w:p w14:paraId="055B872A" w14:textId="5A1939A6">
      <w:pPr>
        <w:spacing w:after="160"/>
      </w:pPr>
      <w:r>
        <w:rPr>
          <w:rFonts w:ascii="Calibri" w:hAnsi="Calibri" w:eastAsia="Calibri" w:cs="Calibri"/>
          <w:color w:val="2B2B2B"/>
          <w:sz w:val="21"/>
          <w:szCs w:val="21"/>
        </w:rPr>
        <w:t xml:space="preserve">If you open a third clinic mid-year, Growth already covers it at no change in price. A fourth location would move you into Authority ($8,000/mo), which adds a dedicated strategist and weekly content — we'd re-quote at that point, not before.</w:t>
      </w:r>
    </w:p>
    <w:p w14:paraId="39F955CE" w14:textId="50B44567">
      <w:pPr>
        <w:spacing w:before="240" w:after="100"/>
      </w:pPr>
      <w:r>
        <w:rPr>
          <w:rFonts w:ascii="Calibri" w:hAnsi="Calibri" w:eastAsia="Calibri" w:cs="Calibri"/>
          <w:b w:val="1"/>
          <w:bCs w:val="1"/>
          <w:color w:val="E8622C"/>
          <w:sz w:val="26"/>
          <w:szCs w:val="26"/>
        </w:rPr>
        <w:t xml:space="preserve">Next Steps</w:t>
      </w:r>
    </w:p>
    <w:p w14:paraId="1CEDD6EC" w14:textId="3016CCF9">
      <w:pPr>
        <w:spacing w:after="160"/>
      </w:pPr>
      <w:r>
        <w:rPr>
          <w:rFonts w:ascii="Calibri" w:hAnsi="Calibri" w:eastAsia="Calibri" w:cs="Calibri"/>
          <w:color w:val="2B2B2B"/>
          <w:sz w:val="21"/>
          <w:szCs w:val="21"/>
        </w:rPr>
        <w:t xml:space="preserve">Reply to this email or call (512) 555-0148 to confirm — we'll schedule your kickoff call within </w:t>
        <w:t xml:space="preserve">3</w:t>
        <w:t xml:space="preserve"> business days of sign-off, starting with a full Google Business Profile and site audit for both locations.</w:t>
      </w:r>
    </w:p>
    <w:p w14:paraId="4F95E6C7" w14:textId="1D6661C6">
      <w:pPr>
        <w:spacing w:before="200"/>
      </w:pPr>
      <w:r>
        <w:rPr>
          <w:rFonts w:ascii="Calibri" w:hAnsi="Calibri" w:eastAsia="Calibri" w:cs="Calibri"/>
          <w:i w:val="1"/>
          <w:iCs w:val="1"/>
          <w:color w:val="6B6B6B"/>
          <w:sz w:val="17"/>
          <w:szCs w:val="17"/>
        </w:rPr>
        <w:t xml:space="preserve">This document is a proposal, not a signed contract — it's our best estimate based on what you've shared, and pricing is confirmed once you accept. Happy to walk through any of it on a call first.</w:t>
      </w:r>
    </w:p>
    <w:sectPr>
      <w:headerReference w:type="default" r:id="rId7"/>
      <w:footerReference w:type="default" r:id="rId8"/>
      <w:type w:val="nextPage"/>
      <w:pgSz w:w="12240" w:h="15840"/>
      <w:pgMar w:top="1296" w:right="1296" w:bottom="1296" w:left="1296" w:header="708" w:footer="708" w:gutter="0"/>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rFonts w:ascii="Calibri" w:cs="Calibri" w:eastAsia="Calibri" w:hAnsi="Calibri"/>
        <w:color w:val="8C8C8C"/>
        <w:sz w:val="15"/>
        <w:szCs w:val="15"/>
      </w:rPr>
      <w:t xml:space="preserve">Northstar Digital  •  hello@northstardigital.io  •  www.northstardigital.io</w:t>
    </w:r>
    <w:r>
      <w:rPr>
        <w:rFonts w:ascii="Calibri" w:cs="Calibri" w:eastAsia="Calibri" w:hAnsi="Calibri"/>
        <w:color w:val="8C8C8C"/>
        <w:sz w:val="15"/>
        <w:szCs w:val="15"/>
      </w:rPr>
      <w:t xml:space="preserve">   |   Page </w:t>
    </w:r>
    <w:r>
      <w:rPr>
        <w:rFonts w:ascii="Calibri" w:cs="Calibri" w:eastAsia="Calibri" w:hAnsi="Calibri"/>
        <w:color w:val="8C8C8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bCs/>
        <w:color w:val="E8622C"/>
        <w:sz w:val="24"/>
        <w:szCs w:val="24"/>
      </w:rPr>
      <w:t xml:space="preserve">NORTHSTAR DIGITAL</w:t>
    </w:r>
  </w:p>
  <w:p>
    <w:pPr>
      <w:pBdr>
        <w:bottom w:val="single" w:color="E6E0DC" w:sz="4" w:space="4"/>
      </w:pBdr>
      <w:spacing w:after="100"/>
    </w:pPr>
    <w:r>
      <w:rPr>
        <w:rFonts w:ascii="Calibri" w:cs="Calibri" w:eastAsia="Calibri" w:hAnsi="Calibri"/>
        <w:i/>
        <w:iCs/>
        <w:color w:val="6B6B6B"/>
        <w:sz w:val="15"/>
        <w:szCs w:val="15"/>
      </w:rPr>
      <w:t xml:space="preserve">Local &amp; Multi-Location SEO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2026-09-07T11:32:29.985Z</dcterms:created>
  <dcterms:modified xsi:type="dcterms:W3CDTF">2026-09-07T11:32:29.997Z</dcterms:modified>
</cp:coreProperties>
</file>

<file path=docProps/custom.xml><?xml version="1.0" encoding="utf-8"?>
<Properties xmlns="http://schemas.openxmlformats.org/officeDocument/2006/custom-properties" xmlns:vt="http://schemas.openxmlformats.org/officeDocument/2006/docPropsVTypes"/>
</file>