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REQUEST-009: a number for the Nordkai renewal</w:t>
      </w:r>
    </w:p>
    <w:p>
      <w:r>
        <w:rPr>
          <w:b/>
        </w:rPr>
        <w:t xml:space="preserve">From: </w:t>
      </w:r>
      <w:r>
        <w:t>Product, Gabriela Rocha</w:t>
      </w:r>
    </w:p>
    <w:p>
      <w:r>
        <w:rPr>
          <w:b/>
        </w:rPr>
        <w:t xml:space="preserve">Received: </w:t>
      </w:r>
      <w:r>
        <w:t>2026-08-14</w:t>
      </w:r>
    </w:p>
    <w:p>
      <w:r>
        <w:rPr>
          <w:b/>
        </w:rPr>
        <w:t xml:space="preserve">Needed by: </w:t>
      </w:r>
      <w:r>
        <w:t>2026-08-29, the day of the renewal call</w:t>
      </w:r>
    </w:p>
    <w:p>
      <w:pPr>
        <w:pStyle w:val="Heading2"/>
      </w:pPr>
      <w:r>
        <w:t>What was asked for</w:t>
      </w:r>
    </w:p>
    <w:p>
      <w:r>
        <w:rPr>
          <w:sz w:val="22"/>
        </w:rPr>
        <w:t>"Something on response times for Nordkai that shows we have improved."</w:t>
      </w:r>
    </w:p>
    <w:p>
      <w:pPr>
        <w:pStyle w:val="Heading2"/>
      </w:pPr>
      <w:r>
        <w:t>Notes</w:t>
      </w:r>
    </w:p>
    <w:p>
      <w:r>
        <w:rPr>
          <w:sz w:val="22"/>
        </w:rPr>
        <w:t>Marked closed. What was actually sent was a first-response median for August only, which is</w:t>
      </w:r>
    </w:p>
    <w:p>
      <w:r>
        <w:rPr>
          <w:sz w:val="22"/>
        </w:rPr>
        <w:t>the month the portal was most active on that account.</w:t>
      </w:r>
    </w:p>
    <w:p>
      <w:r>
        <w:rPr>
          <w:sz w:val="22"/>
        </w:rPr>
        <w:t>`POLICY-11` allows quoting an observed p50 where the account has more than 20 closed tickets.</w:t>
      </w:r>
    </w:p>
    <w:p>
      <w:r>
        <w:rPr>
          <w:sz w:val="22"/>
        </w:rPr>
        <w:t>Nordkai has 97, so the figure was allowed. Whether one favourable month is the right window</w:t>
      </w:r>
    </w:p>
    <w:p>
      <w:r>
        <w:rPr>
          <w:sz w:val="22"/>
        </w:rPr>
        <w:t>is not something the policy addresses, and nobody raised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