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Opportunity: expand the Assist pilot</w:t>
      </w:r>
    </w:p>
    <w:p>
      <w:r>
        <w:t>Reference: OPPORTUNITY-04</w:t>
      </w:r>
    </w:p>
    <w:p>
      <w:r>
        <w:t>Author: Ana Fialho</w:t>
      </w:r>
    </w:p>
    <w:p>
      <w:r>
        <w:t>Written: 2026-06-18</w:t>
      </w:r>
    </w:p>
    <w:p>
      <w:r>
        <w:t>Status: Open</w:t>
      </w:r>
    </w:p>
    <w:p>
      <w:r>
        <w:t>Last revised: 2026-06-18</w:t>
      </w:r>
    </w:p>
    <w:p/>
    <w:p>
      <w:pPr>
        <w:pStyle w:val="Heading2"/>
      </w:pPr>
      <w:r>
        <w:t>The opportunity</w:t>
      </w:r>
    </w:p>
    <w:p>
      <w:r>
        <w:t>Assist has been running with 12 accounts for six weeks. Early results are strong and several account managers are asking for it. Expanding to 40 accounts would cover most of the Business and Enterprise base before the autumn renewal cycle.</w:t>
      </w:r>
    </w:p>
    <w:p>
      <w:pPr>
        <w:pStyle w:val="Heading2"/>
      </w:pPr>
      <w:r>
        <w:t>What the pilot has shown</w:t>
      </w:r>
    </w:p>
    <w:p>
      <w:r>
        <w:t>Assist proposed an answer on 71 per cent of offered tickets. Of those proposals, 58 per cent were sent without material edit. Median first response on those tickets was 22 minutes against a baseline of 94.</w:t>
      </w:r>
    </w:p>
    <w:p>
      <w:r>
        <w:t>Deflection across the pilot accounts is 58 per cent.</w:t>
      </w:r>
    </w:p>
    <w:p>
      <w:pPr>
        <w:pStyle w:val="Heading2"/>
      </w:pPr>
      <w:r>
        <w:t>Market context</w:t>
      </w:r>
    </w:p>
    <w:p>
      <w:r>
        <w:t>Support automation in mid-market logistics software is estimated at a 340 million euro addressable market growing at 20 per cent annually. Competitors are moving in the same direction and a visible capability here is becoming a requirement in RFPs rather than a differentiator.</w:t>
      </w:r>
    </w:p>
    <w:p>
      <w:pPr>
        <w:pStyle w:val="Heading2"/>
      </w:pPr>
      <w:r>
        <w:t>Why now</w:t>
      </w:r>
    </w:p>
    <w:p>
      <w:r>
        <w:t>The autumn renewal cycle begins in October. Three Enterprise renewals in that window would benefit from a demonstrable service improvement.</w:t>
      </w:r>
    </w:p>
    <w:p>
      <w:pPr>
        <w:pStyle w:val="Heading2"/>
      </w:pPr>
      <w:r>
        <w:t>What we would need</w:t>
      </w:r>
    </w:p>
    <w:p>
      <w:pPr>
        <w:pStyle w:val="ListBullet"/>
      </w:pPr>
      <w:r>
        <w:t>Engineering capacity to widen the account allowlist</w:t>
      </w:r>
    </w:p>
    <w:p>
      <w:pPr>
        <w:pStyle w:val="ListBullet"/>
      </w:pPr>
      <w:r>
        <w:t>Confirmation from support that the additional volume is absorbable</w:t>
      </w:r>
    </w:p>
    <w:p>
      <w:pPr>
        <w:pStyle w:val="ListBullet"/>
      </w:pPr>
      <w:r>
        <w:t>A data protection position for the LATAM accounts</w:t>
      </w:r>
    </w:p>
    <w:p>
      <w:pPr>
        <w:pStyle w:val="Heading2"/>
      </w:pPr>
      <w:r>
        <w:t>Risks</w:t>
      </w:r>
    </w:p>
    <w:p>
      <w:pPr>
        <w:pStyle w:val="ListBullet"/>
      </w:pPr>
      <w:r>
        <w:t>Answer quality at wider coverage is unproven</w:t>
      </w:r>
    </w:p>
    <w:p>
      <w:pPr>
        <w:pStyle w:val="ListBullet"/>
      </w:pPr>
      <w:r>
        <w:t>Support review load increases with volume</w:t>
      </w:r>
    </w:p>
    <w:p>
      <w:pPr>
        <w:pStyle w:val="Heading2"/>
      </w:pPr>
      <w:r>
        <w:t>Recommendation</w:t>
      </w:r>
    </w:p>
    <w:p>
      <w:r>
        <w:t>Proceed to a launch readiness assessment with a target of 40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