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Request: LATAM accounts need a transfer basis first</w:t>
      </w:r>
    </w:p>
    <w:p>
      <w:r>
        <w:t>From: Tomas Silva, Legal and Data Protection</w:t>
      </w:r>
    </w:p>
    <w:p>
      <w:r>
        <w:t>Received: 2026-08-11</w:t>
      </w:r>
    </w:p>
    <w:p/>
    <w:p>
      <w:r>
        <w:t>POLICY-03 requires a documented transfer basis where customer data is processed outside the region it originates in.</w:t>
      </w:r>
    </w:p>
    <w:p>
      <w:r>
        <w:t>For the LATAM accounts in the proposed expansion I have not seen where the inference runs or what data reaches it. Until I do I cannot sign off on those accounts.</w:t>
      </w:r>
    </w:p>
    <w:p>
      <w:r>
        <w:t>This is not a blanket objection. The EU and NA accounts are not affected.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