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Pilot incidents, product view</w:t>
      </w:r>
    </w:p>
    <w:p>
      <w:r>
        <w:t>Author: Ana Fialho</w:t>
      </w:r>
    </w:p>
    <w:p>
      <w:r>
        <w:t>Written: 2026-08-04</w:t>
      </w:r>
    </w:p>
    <w:p/>
    <w:p>
      <w:r>
        <w:t>Two incidents came out of the pilot, three weeks apart. Support wrote both up. This is what they mean for the expansion decision.</w:t>
      </w:r>
    </w:p>
    <w:p>
      <w:pPr>
        <w:pStyle w:val="Heading2"/>
      </w:pPr>
      <w:r>
        <w:t>What happened</w:t>
      </w:r>
    </w:p>
    <w:p>
      <w:pPr>
        <w:pStyle w:val="ListBullet"/>
      </w:pPr>
      <w:r>
        <w:t>INCIDENT-01. A superseded refund window reached a customer. A published article had been replaced and both versions were retrievable.</w:t>
      </w:r>
    </w:p>
    <w:p>
      <w:pPr>
        <w:pStyle w:val="ListBullet"/>
      </w:pPr>
      <w:r>
        <w:t>INCIDENT-02. Advice to disable a webhook retry stopped an account's inbound feed. The answer was correct in general and wrong for that account.</w:t>
      </w:r>
    </w:p>
    <w:p>
      <w:pPr>
        <w:pStyle w:val="Heading2"/>
      </w:pPr>
      <w:r>
        <w:t>What they have in common</w:t>
      </w:r>
    </w:p>
    <w:p>
      <w:r>
        <w:t>Both went out without a person reading them. Neither was caused by a bad answer in the ordinary sense: the first was a stale source, the second was correct advice given to the wrong account.</w:t>
      </w:r>
    </w:p>
    <w:p>
      <w:pPr>
        <w:pStyle w:val="Heading2"/>
      </w:pPr>
      <w:r>
        <w:t>What this means for the expansion</w:t>
      </w:r>
    </w:p>
    <w:p>
      <w:r>
        <w:t>The brief for OPPORTUNITY-04 was written before both. It has not been revised.</w:t>
      </w:r>
    </w:p>
    <w:p>
      <w:r>
        <w:t>Neither incident has a follow-up owner. Both were discussed and closed without a control being added, which means widening coverage widens the exposure.</w:t>
      </w:r>
    </w:p>
    <w:p>
      <w:pPr>
        <w:pStyle w:val="Heading2"/>
      </w:pPr>
      <w:r>
        <w:t>Open</w:t>
      </w:r>
    </w:p>
    <w:p>
      <w:r>
        <w:t>Whether either incident should block expansion. Nobody has been asked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