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Decision: deprecate the legacy cycle count module</w:t>
      </w:r>
    </w:p>
    <w:p>
      <w:r>
        <w:t>Reference: DEC-0031</w:t>
      </w:r>
    </w:p>
    <w:p>
      <w:r>
        <w:t>Author: Ana Fialho</w:t>
      </w:r>
    </w:p>
    <w:p>
      <w:r>
        <w:t>Decided: 2026-07-22</w:t>
      </w:r>
    </w:p>
    <w:p>
      <w:r>
        <w:t>Type: Deprecation</w:t>
      </w:r>
    </w:p>
    <w:p>
      <w:r>
        <w:t>Approver: Ana Fialho, Mei Tan</w:t>
      </w:r>
    </w:p>
    <w:p/>
    <w:p>
      <w:pPr>
        <w:pStyle w:val="Heading2"/>
      </w:pPr>
      <w:r>
        <w:t>Decision</w:t>
      </w:r>
    </w:p>
    <w:p>
      <w:r>
        <w:t>The legacy cycle count module is deprecated with effect from 2027-01-31. Customers move to the current implementation, which has been the default for new accounts since 2025.</w:t>
      </w:r>
    </w:p>
    <w:p>
      <w:pPr>
        <w:pStyle w:val="Heading2"/>
      </w:pPr>
      <w:r>
        <w:t>Rationale</w:t>
      </w:r>
    </w:p>
    <w:p>
      <w:r>
        <w:t>Four accounts remain on the legacy module. It carries a separate code path, its own defect history, and no test coverage worth the name. Maintaining it costs more than the revenue attributable to those four accounts.</w:t>
      </w:r>
    </w:p>
    <w:p>
      <w:pPr>
        <w:pStyle w:val="Heading2"/>
      </w:pPr>
      <w:r>
        <w:t>Scope</w:t>
      </w:r>
    </w:p>
    <w:p>
      <w:r>
        <w:t>Four accounts. Migration support offered at no charge. Six months notice.</w:t>
      </w:r>
    </w:p>
    <w:p>
      <w:pPr>
        <w:pStyle w:val="Heading2"/>
      </w:pPr>
      <w:r>
        <w:t>Evidence</w:t>
      </w:r>
    </w:p>
    <w:p>
      <w:r>
        <w:t>Support ticket volume by module for the trailing twelve months. Engineering estimate of annual maintenance cost.</w:t>
      </w:r>
    </w:p>
    <w:p>
      <w:pPr>
        <w:pStyle w:val="Heading2"/>
      </w:pPr>
      <w:r>
        <w:t>Constraints</w:t>
      </w:r>
    </w:p>
    <w:p>
      <w:pPr>
        <w:pStyle w:val="ListBullet"/>
      </w:pPr>
      <w:r>
        <w:t>Two of the four accounts are mid-contract and require a contractual variation</w:t>
      </w:r>
    </w:p>
    <w:p>
      <w:pPr>
        <w:pStyle w:val="Heading2"/>
      </w:pPr>
      <w:r>
        <w:t>Review</w:t>
      </w:r>
    </w:p>
    <w:p>
      <w:r>
        <w:t>Review at 2026-11-01 to confirm migration progress.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