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Policies that apply to product decisions</w:t>
      </w:r>
    </w:p>
    <w:p>
      <w:r>
        <w:t>Maintained by: Ana Fialho</w:t>
      </w:r>
    </w:p>
    <w:p>
      <w:r>
        <w:t>Last reviewed: 2026-06-02</w:t>
      </w:r>
    </w:p>
    <w:p/>
    <w:p>
      <w:r>
        <w:t>These are the company rules that reach product work. Nothing checks any of them.</w:t>
      </w:r>
    </w:p>
    <w:p>
      <w:pPr>
        <w:pStyle w:val="Heading2"/>
      </w:pPr>
      <w:r>
        <w:t>Current</w:t>
      </w:r>
    </w:p>
    <w:p>
      <w:pPr>
        <w:pStyle w:val="ListBullet"/>
      </w:pPr>
      <w:r>
        <w:t>POL-01. AI-proposed answers on billing topics are reviewed by a human before they are sent to a Business or Enterprise account. Owner: Rui Bastos.</w:t>
      </w:r>
    </w:p>
    <w:p>
      <w:pPr>
        <w:pStyle w:val="ListBullet"/>
      </w:pPr>
      <w:r>
        <w:t>POL-03. Customer data leaving the EU region requires a documented transfer basis. Owner: Tomas Silva.</w:t>
      </w:r>
    </w:p>
    <w:p>
      <w:pPr>
        <w:pStyle w:val="ListBullet"/>
      </w:pPr>
      <w:r>
        <w:t>POL-08. Pilot expansion beyond 25 accounts requires a documented launch-readiness decision. Owner: Ana Fialho.</w:t>
      </w:r>
    </w:p>
    <w:p>
      <w:pPr>
        <w:pStyle w:val="ListBullet"/>
      </w:pPr>
      <w:r>
        <w:t>POL-11. Support may quote a resolution time from the tier commitment table, or from the trailing ninety day observed median where the account has more than twenty closed tickets. Owner: Gabriela Rocha. Current since 2026-07-01.</w:t>
      </w:r>
    </w:p>
    <w:p>
      <w:pPr>
        <w:pStyle w:val="Heading2"/>
      </w:pPr>
      <w:r>
        <w:t>Superseded</w:t>
      </w:r>
    </w:p>
    <w:p>
      <w:pPr>
        <w:pStyle w:val="ListBullet"/>
      </w:pPr>
      <w:r>
        <w:t>POL-10. Support may quote a resolution time only from the tier commitment table. Replaced by POL-11 on 2026-07-01.</w:t>
      </w:r>
    </w:p>
    <w:p>
      <w:pPr>
        <w:pStyle w:val="Heading2"/>
      </w:pPr>
      <w:r>
        <w:t>Habits that are not policies</w:t>
      </w:r>
    </w:p>
    <w:p>
      <w:pPr>
        <w:pStyle w:val="ListBullet"/>
      </w:pPr>
      <w:r>
        <w:t>An experiment threshold is set before the experiment runs. Usually.</w:t>
      </w:r>
    </w:p>
    <w:p>
      <w:pPr>
        <w:pStyle w:val="ListBullet"/>
      </w:pPr>
      <w:r>
        <w:t>A decision that reverses an earlier one references it. Sometimes.</w:t>
      </w:r>
    </w:p>
    <w:p>
      <w:pPr>
        <w:pStyle w:val="ListBullet"/>
      </w:pPr>
      <w:r>
        <w:t>The readiness checklist is completed before launch, not after.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