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INC-01: a superseded refund window reached a customer</w:t>
      </w:r>
    </w:p>
    <w:p>
      <w:r>
        <w:t>Written: 2026-07-14, three days after the fact, by whoever was on call.</w:t>
      </w:r>
    </w:p>
    <w:p>
      <w:r>
        <w:t>Severity: the account disputed an invoice. No money moved.</w:t>
      </w:r>
    </w:p>
    <w:p>
      <w:pPr>
        <w:pStyle w:val="Heading2"/>
      </w:pPr>
      <w:r>
        <w:t>What happened</w:t>
      </w:r>
    </w:p>
    <w:p>
      <w:r>
        <w:t>An Assist proposal answering a billing question quoted a 30-day refund window. The current</w:t>
      </w:r>
    </w:p>
    <w:p>
      <w:r>
        <w:t>window is 60 days. The proposal was sent without a human reading it.</w:t>
      </w:r>
    </w:p>
    <w:p>
      <w:r>
        <w:t>The 30-day figure came from a published knowledge article. That article had been superseded</w:t>
      </w:r>
    </w:p>
    <w:p>
      <w:r>
        <w:t>months earlier by a newer one carrying the correct window. Both were published. Both were</w:t>
      </w:r>
    </w:p>
    <w:p>
      <w:r>
        <w:t>retrievable. Nothing distinguished them at the point of retrieval.</w:t>
      </w:r>
    </w:p>
    <w:p>
      <w:pPr>
        <w:pStyle w:val="Heading2"/>
      </w:pPr>
      <w:r>
        <w:t>What was checked before it went out</w:t>
      </w:r>
    </w:p>
    <w:p>
      <w:r>
        <w:t>The article was published. That was the whole check.</w:t>
      </w:r>
    </w:p>
    <w:p>
      <w:pPr>
        <w:pStyle w:val="Heading2"/>
      </w:pPr>
      <w:r>
        <w:t>What nobody checked</w:t>
      </w:r>
    </w:p>
    <w:p>
      <w:r>
        <w:t>Whether the article had been superseded. The newer article names the older one as the article it</w:t>
      </w:r>
    </w:p>
    <w:p>
      <w:r>
        <w:t>replaces, so the relationship was recorded. Nothing read it.</w:t>
      </w:r>
    </w:p>
    <w:p>
      <w:pPr>
        <w:pStyle w:val="Heading2"/>
      </w:pPr>
      <w:r>
        <w:t>What was done afterwards</w:t>
      </w:r>
    </w:p>
    <w:p>
      <w:r>
        <w:t>The account was called. The older article's status was changed by hand. Nobody wrote down who</w:t>
      </w:r>
    </w:p>
    <w:p>
      <w:r>
        <w:t>changed it or when, so the change is not in this record either.</w:t>
      </w:r>
    </w:p>
    <w:p>
      <w:pPr>
        <w:pStyle w:val="Heading2"/>
      </w:pPr>
      <w:r>
        <w:t>What would have caught it</w:t>
      </w:r>
    </w:p>
    <w:p>
      <w:r>
        <w:t>Unclear, and this is the honest part of the writeup. Candidates that came up at the time:</w:t>
      </w:r>
    </w:p>
    <w:p>
      <w:pPr>
        <w:pStyle w:val="ListBullet"/>
      </w:pPr>
      <w:r>
        <w:t>Not retrieving an article that another article supersedes.</w:t>
      </w:r>
    </w:p>
    <w:p>
      <w:pPr>
        <w:pStyle w:val="ListBullet"/>
      </w:pPr>
      <w:r>
        <w:t>Requiring a human on billing answers for this account's tier, which a policy already says.</w:t>
      </w:r>
    </w:p>
    <w:p>
      <w:pPr>
        <w:pStyle w:val="ListBullet"/>
      </w:pPr>
      <w:r>
        <w:t>Noticing that two retrieved articles gave different answers to the same question.</w:t>
      </w:r>
    </w:p>
    <w:p>
      <w:r>
        <w:t>None of the three existed. None of the three exists now.</w:t>
      </w:r>
    </w:p>
    <w:p>
      <w:pPr>
        <w:pStyle w:val="Heading2"/>
      </w:pPr>
      <w:r>
        <w:t>Open</w:t>
      </w:r>
    </w:p>
    <w:p>
      <w:r>
        <w:t>Nobody owns the follow-up. It was discussed in a retrospective and not written into any tracker.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