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Welcome to Portwell</w:t>
      </w:r>
    </w:p>
    <w:p>
      <w:r>
        <w:rPr>
          <w:b w:val="0"/>
          <w:sz w:val="20"/>
        </w:rPr>
        <w:t>New starter pack. Read this in your first week.</w:t>
      </w:r>
    </w:p>
    <w:p>
      <w:pPr>
        <w:pStyle w:val="Heading1"/>
      </w:pPr>
      <w:r>
        <w:t>What Portwell is for</w:t>
      </w:r>
    </w:p>
    <w:p>
      <w:r>
        <w:rPr>
          <w:b w:val="0"/>
          <w:sz w:val="22"/>
        </w:rPr>
        <w:t>Warehouse software that a mid-market operator can actually run, without a six-month implementation and a consultant on retainer.</w:t>
      </w:r>
    </w:p>
    <w:p>
      <w:r>
        <w:rPr>
          <w:b w:val="0"/>
          <w:sz w:val="22"/>
        </w:rPr>
        <w:t>That sentence has been the answer since 2016 and it is the one to give a customer who asks what we do.</w:t>
      </w:r>
    </w:p>
    <w:p>
      <w:pPr>
        <w:pStyle w:val="Heading1"/>
      </w:pPr>
      <w:r>
        <w:t>Who the customer is</w:t>
      </w:r>
    </w:p>
    <w:p>
      <w:r>
        <w:rPr>
          <w:b w:val="0"/>
          <w:sz w:val="22"/>
        </w:rPr>
        <w:t>An operator running one or two sites, between twenty and five hundred seats, who has outgrown a spreadsheet but cannot justify an enterprise suite and the team it needs.</w:t>
      </w:r>
    </w:p>
    <w:p>
      <w:pPr>
        <w:pStyle w:val="Heading1"/>
      </w:pPr>
      <w:r>
        <w:t>The modules</w:t>
      </w:r>
    </w:p>
    <w:p>
      <w:pPr>
        <w:pStyle w:val="ListBullet"/>
      </w:pPr>
      <w:r>
        <w:t>Receiving</w:t>
      </w:r>
    </w:p>
    <w:p>
      <w:pPr>
        <w:pStyle w:val="ListBullet"/>
      </w:pPr>
      <w:r>
        <w:t>Putaway</w:t>
      </w:r>
    </w:p>
    <w:p>
      <w:pPr>
        <w:pStyle w:val="ListBullet"/>
      </w:pPr>
      <w:r>
        <w:t>Picking</w:t>
      </w:r>
    </w:p>
    <w:p>
      <w:pPr>
        <w:pStyle w:val="ListBullet"/>
      </w:pPr>
      <w:r>
        <w:t>Cycle Count</w:t>
      </w:r>
    </w:p>
    <w:p>
      <w:pPr>
        <w:pStyle w:val="ListBullet"/>
      </w:pPr>
      <w:r>
        <w:t>Billing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Reporting</w:t>
      </w:r>
    </w:p>
    <w:p>
      <w:pPr>
        <w:pStyle w:val="ListBullet"/>
      </w:pPr>
      <w:r>
        <w:t>Auth</w:t>
      </w:r>
    </w:p>
    <w:p>
      <w:pPr>
        <w:pStyle w:val="Heading1"/>
      </w:pPr>
      <w:r>
        <w:t>Who to ask</w:t>
      </w:r>
    </w:p>
    <w:p>
      <w:r>
        <w:rPr>
          <w:b w:val="0"/>
          <w:sz w:val="22"/>
        </w:rPr>
        <w:t>The org chart page in the internal space lists who reports to whom. It is kept by hand and is usually a few weeks behind.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