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Guide utilisateur — Application de gestion locative CIMEC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X76e471a3d0a7d375d6db1ac5cc057281a9e8aea"/>
    <w:p>
      <w:pPr>
        <w:pStyle w:val="Heading1"/>
      </w:pPr>
      <w:r>
        <w:t xml:space="preserve">Guide utilisateur — Application de gestion locative CIMEC</w:t>
      </w:r>
    </w:p>
    <w:p>
      <w:pPr>
        <w:pStyle w:val="BlockText"/>
      </w:pPr>
      <w:r>
        <w:t xml:space="preserve">Support de formation (Sprint 9 — critère de réception CDC §21 : « comptes</w:t>
      </w:r>
      <w:r>
        <w:t xml:space="preserve"> </w:t>
      </w:r>
      <w:r>
        <w:t xml:space="preserve">créés, formation réalisée »). Un exemplaire par profil suffit : chaque</w:t>
      </w:r>
      <w:r>
        <w:t xml:space="preserve"> </w:t>
      </w:r>
      <w:r>
        <w:t xml:space="preserve">partie ci-dessous ne couvre que ce que ce profil peut faire.</w:t>
      </w:r>
    </w:p>
    <w:bookmarkStart w:id="9" w:name="connexion"/>
    <w:p>
      <w:pPr>
        <w:pStyle w:val="Heading2"/>
      </w:pPr>
      <w:r>
        <w:t xml:space="preserve">1. Connexion</w:t>
      </w:r>
    </w:p>
    <w:p>
      <w:pPr>
        <w:pStyle w:val="Compact"/>
        <w:numPr>
          <w:ilvl w:val="0"/>
          <w:numId w:val="1001"/>
        </w:numPr>
      </w:pPr>
      <w:r>
        <w:t xml:space="preserve">Ouvrir l’application dans un navigateur (ordinateur, tablette ou</w:t>
      </w:r>
      <w:r>
        <w:t xml:space="preserve"> </w:t>
      </w:r>
      <w:r>
        <w:t xml:space="preserve">smartphone — l’affichage s’adapte automatiquement).</w:t>
      </w:r>
    </w:p>
    <w:p>
      <w:pPr>
        <w:pStyle w:val="Compact"/>
        <w:numPr>
          <w:ilvl w:val="0"/>
          <w:numId w:val="1001"/>
        </w:numPr>
      </w:pPr>
      <w:r>
        <w:t xml:space="preserve">Renseigner l’email professionnel et le mot de passe fournis par</w:t>
      </w:r>
      <w:r>
        <w:t xml:space="preserve"> </w:t>
      </w:r>
      <w:r>
        <w:t xml:space="preserve">l’Administrateur.</w:t>
      </w:r>
    </w:p>
    <w:p>
      <w:pPr>
        <w:pStyle w:val="Compact"/>
        <w:numPr>
          <w:ilvl w:val="0"/>
          <w:numId w:val="1001"/>
        </w:numPr>
      </w:pPr>
      <w:r>
        <w:t xml:space="preserve">En cas d’inactivité prolongée (30 minutes sans action), la session</w:t>
      </w:r>
      <w:r>
        <w:t xml:space="preserve"> </w:t>
      </w:r>
      <w:r>
        <w:t xml:space="preserve">expire automatiquement : il suffit de se reconnecter.</w:t>
      </w:r>
    </w:p>
    <w:p>
      <w:pPr>
        <w:pStyle w:val="Compact"/>
        <w:numPr>
          <w:ilvl w:val="0"/>
          <w:numId w:val="1001"/>
        </w:numPr>
      </w:pPr>
      <w:r>
        <w:t xml:space="preserve">Le menu de gauche (ou le menu du bas sur smartphone) affiche uniquement</w:t>
      </w:r>
      <w:r>
        <w:t xml:space="preserve"> </w:t>
      </w:r>
      <w:r>
        <w:t xml:space="preserve">les rubriques accessibles au profil connecté.</w:t>
      </w:r>
    </w:p>
    <w:p>
      <w:pPr>
        <w:pStyle w:val="FirstParagraph"/>
      </w:pPr>
      <w:r>
        <w:rPr>
          <w:b/>
          <w:bCs/>
        </w:rPr>
        <w:t xml:space="preserve">Mot de passe oublié ou compte bloqué</w:t>
      </w:r>
      <w:r>
        <w:t xml:space="preserve"> </w:t>
      </w:r>
      <w:r>
        <w:t xml:space="preserve">: contacter l’Administrateur, qui</w:t>
      </w:r>
      <w:r>
        <w:t xml:space="preserve"> </w:t>
      </w:r>
      <w:r>
        <w:t xml:space="preserve">peut créer un nouveau compte ou réinitialiser l’accès depuis la rubrique</w:t>
      </w:r>
      <w:r>
        <w:t xml:space="preserve"> </w:t>
      </w:r>
      <w:r>
        <w:rPr>
          <w:i/>
          <w:iCs/>
        </w:rPr>
        <w:t xml:space="preserve">Utilisateurs</w:t>
      </w:r>
      <w:r>
        <w:t xml:space="preserve">.</w:t>
      </w:r>
    </w:p>
    <w:bookmarkEnd w:id="9"/>
    <w:bookmarkStart w:id="10" w:name="le-tableau-de-bord-tous-les-profils"/>
    <w:p>
      <w:pPr>
        <w:pStyle w:val="Heading2"/>
      </w:pPr>
      <w:r>
        <w:t xml:space="preserve">2. Le tableau de bord (tous les profils)</w:t>
      </w:r>
    </w:p>
    <w:p>
      <w:pPr>
        <w:pStyle w:val="FirstParagraph"/>
      </w:pPr>
      <w:r>
        <w:t xml:space="preserve">Premier écran après connexion. Trois blocs d’indicateurs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Immobiliers</w:t>
      </w:r>
      <w:r>
        <w:t xml:space="preserve"> </w:t>
      </w:r>
      <w:r>
        <w:t xml:space="preserve">: nombre de biens, taux d’occupation, biens libres/en</w:t>
      </w:r>
      <w:r>
        <w:t xml:space="preserve"> </w:t>
      </w:r>
      <w:r>
        <w:t xml:space="preserve">travaux.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Financiers</w:t>
      </w:r>
      <w:r>
        <w:t xml:space="preserve"> </w:t>
      </w:r>
      <w:r>
        <w:t xml:space="preserve">: chiffre d’affaires du mois, impayés en cours.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Locatifs</w:t>
      </w:r>
      <w:r>
        <w:t xml:space="preserve"> </w:t>
      </w:r>
      <w:r>
        <w:t xml:space="preserve">: contrats actifs, échéances à venir.</w:t>
      </w:r>
    </w:p>
    <w:p>
      <w:pPr>
        <w:pStyle w:val="FirstParagraph"/>
      </w:pPr>
      <w:r>
        <w:t xml:space="preserve">Quatre graphiques complètent la vue : évolution du chiffre d’affaires,</w:t>
      </w:r>
      <w:r>
        <w:t xml:space="preserve"> </w:t>
      </w:r>
      <w:r>
        <w:t xml:space="preserve">occupation, répartition des biens par type, évolution des impayés.</w:t>
      </w:r>
    </w:p>
    <w:bookmarkEnd w:id="10"/>
    <w:bookmarkStart w:id="16" w:name="gestionnaire-locatif-usage-quotidien"/>
    <w:p>
      <w:pPr>
        <w:pStyle w:val="Heading2"/>
      </w:pPr>
      <w:r>
        <w:t xml:space="preserve">3. Gestionnaire locatif — usage quotidien</w:t>
      </w:r>
    </w:p>
    <w:p>
      <w:pPr>
        <w:pStyle w:val="FirstParagraph"/>
      </w:pPr>
      <w:r>
        <w:t xml:space="preserve">C’est le profil qui saisit l’essentiel de l’activité courante.</w:t>
      </w:r>
    </w:p>
    <w:bookmarkStart w:id="11" w:name="biens"/>
    <w:p>
      <w:pPr>
        <w:pStyle w:val="Heading3"/>
      </w:pPr>
      <w:r>
        <w:t xml:space="preserve">3.1 Biens</w:t>
      </w:r>
    </w:p>
    <w:p>
      <w:pPr>
        <w:pStyle w:val="FirstParagraph"/>
      </w:pPr>
      <w:r>
        <w:rPr>
          <w:i/>
          <w:iCs/>
        </w:rPr>
        <w:t xml:space="preserve">Biens → Nouveau</w:t>
      </w:r>
      <w:r>
        <w:t xml:space="preserve"> </w:t>
      </w:r>
      <w:r>
        <w:t xml:space="preserve">: renseigner type, désignation, quartier, adresse et</w:t>
      </w:r>
      <w:r>
        <w:t xml:space="preserve"> </w:t>
      </w:r>
      <w:r>
        <w:t xml:space="preserve">loyer. Le code (ex.</w:t>
      </w:r>
      <w:r>
        <w:t xml:space="preserve"> </w:t>
      </w:r>
      <w:r>
        <w:rPr>
          <w:rStyle w:val="VerbatimChar"/>
        </w:rPr>
        <w:t xml:space="preserve">BIEN-000012</w:t>
      </w:r>
      <w:r>
        <w:t xml:space="preserve">) est généré automatiquement. Le statut</w:t>
      </w:r>
      <w:r>
        <w:t xml:space="preserve"> </w:t>
      </w:r>
      <w:r>
        <w:t xml:space="preserve">(Libre / Occupé / En travaux) change tout seul à la validation ou à la</w:t>
      </w:r>
      <w:r>
        <w:t xml:space="preserve"> </w:t>
      </w:r>
      <w:r>
        <w:t xml:space="preserve">clôture d’un contrat — il n’y a pas besoin de le changer manuellement dans</w:t>
      </w:r>
      <w:r>
        <w:t xml:space="preserve"> </w:t>
      </w:r>
      <w:r>
        <w:t xml:space="preserve">le cas normal.</w:t>
      </w:r>
    </w:p>
    <w:bookmarkEnd w:id="11"/>
    <w:bookmarkStart w:id="12" w:name="locataires"/>
    <w:p>
      <w:pPr>
        <w:pStyle w:val="Heading3"/>
      </w:pPr>
      <w:r>
        <w:t xml:space="preserve">3.2 Locataires</w:t>
      </w:r>
    </w:p>
    <w:p>
      <w:pPr>
        <w:pStyle w:val="FirstParagraph"/>
      </w:pPr>
      <w:r>
        <w:rPr>
          <w:i/>
          <w:iCs/>
        </w:rPr>
        <w:t xml:space="preserve">Locataires → Nouveau</w:t>
      </w:r>
      <w:r>
        <w:t xml:space="preserve"> </w:t>
      </w:r>
      <w:r>
        <w:t xml:space="preserve">: personne physique (nom, prénoms, date de naissance,</w:t>
      </w:r>
      <w:r>
        <w:t xml:space="preserve"> </w:t>
      </w:r>
      <w:r>
        <w:t xml:space="preserve">pièce d’identité) ou entreprise (raison sociale, représentant). Le</w:t>
      </w:r>
      <w:r>
        <w:t xml:space="preserve"> </w:t>
      </w:r>
      <w:r>
        <w:t xml:space="preserve">téléphone principal est obligatoire.</w:t>
      </w:r>
    </w:p>
    <w:p>
      <w:pPr>
        <w:pStyle w:val="BodyText"/>
      </w:pPr>
      <w:r>
        <w:t xml:space="preserve">À la sortie d’un locataire, utiliser</w:t>
      </w:r>
      <w:r>
        <w:t xml:space="preserve"> </w:t>
      </w:r>
      <w:r>
        <w:rPr>
          <w:i/>
          <w:iCs/>
        </w:rPr>
        <w:t xml:space="preserve">Archiver</w:t>
      </w:r>
      <w:r>
        <w:t xml:space="preserve"> </w:t>
      </w:r>
      <w:r>
        <w:t xml:space="preserve">depuis sa fiche — ses</w:t>
      </w:r>
      <w:r>
        <w:t xml:space="preserve"> </w:t>
      </w:r>
      <w:r>
        <w:t xml:space="preserve">données personnelles sont conservées un an puis supprimées automatiquement</w:t>
      </w:r>
      <w:r>
        <w:t xml:space="preserve"> </w:t>
      </w:r>
      <w:r>
        <w:t xml:space="preserve">(aucune action à refaire).</w:t>
      </w:r>
    </w:p>
    <w:bookmarkEnd w:id="12"/>
    <w:bookmarkStart w:id="13" w:name="contrats"/>
    <w:p>
      <w:pPr>
        <w:pStyle w:val="Heading3"/>
      </w:pPr>
      <w:r>
        <w:t xml:space="preserve">3.3 Contrats</w:t>
      </w:r>
    </w:p>
    <w:p>
      <w:pPr>
        <w:pStyle w:val="FirstParagraph"/>
      </w:pPr>
      <w:r>
        <w:rPr>
          <w:i/>
          <w:iCs/>
        </w:rPr>
        <w:t xml:space="preserve">Contrats → Nouveau</w:t>
      </w:r>
      <w:r>
        <w:t xml:space="preserve"> </w:t>
      </w:r>
      <w:r>
        <w:t xml:space="preserve">: sélectionner un bien</w:t>
      </w:r>
      <w:r>
        <w:t xml:space="preserve"> </w:t>
      </w:r>
      <w:r>
        <w:rPr>
          <w:b/>
          <w:bCs/>
        </w:rPr>
        <w:t xml:space="preserve">libre</w:t>
      </w:r>
      <w:r>
        <w:t xml:space="preserve"> </w:t>
      </w:r>
      <w:r>
        <w:t xml:space="preserve">et un locataire</w:t>
      </w:r>
      <w:r>
        <w:t xml:space="preserve"> </w:t>
      </w:r>
      <w:r>
        <w:rPr>
          <w:b/>
          <w:bCs/>
        </w:rPr>
        <w:t xml:space="preserve">actif</w:t>
      </w:r>
      <w:r>
        <w:t xml:space="preserve">, la durée, le loyer et la caution (2 mois de loyer par défaut,</w:t>
      </w:r>
      <w:r>
        <w:t xml:space="preserve"> </w:t>
      </w:r>
      <w:r>
        <w:t xml:space="preserve">modifiable). Le contrat est créé en statut</w:t>
      </w:r>
      <w:r>
        <w:t xml:space="preserve"> </w:t>
      </w:r>
      <w:r>
        <w:rPr>
          <w:b/>
          <w:bCs/>
        </w:rPr>
        <w:t xml:space="preserve">Brouillon</w:t>
      </w:r>
      <w:r>
        <w:t xml:space="preserve"> </w:t>
      </w:r>
      <w:r>
        <w:t xml:space="preserve">: il n’a aucun</w:t>
      </w:r>
      <w:r>
        <w:t xml:space="preserve"> </w:t>
      </w:r>
      <w:r>
        <w:t xml:space="preserve">effet tant que le Gérant ne l’a pas validé (le bien reste « Libre », aucune</w:t>
      </w:r>
      <w:r>
        <w:t xml:space="preserve"> </w:t>
      </w:r>
      <w:r>
        <w:t xml:space="preserve">facture n’est générée).</w:t>
      </w:r>
    </w:p>
    <w:p>
      <w:pPr>
        <w:pStyle w:val="BodyText"/>
      </w:pPr>
      <w:r>
        <w:t xml:space="preserve">Une fois validé par le Gérant, le contrat génère automatiquement un PDF</w:t>
      </w:r>
      <w:r>
        <w:t xml:space="preserve"> </w:t>
      </w:r>
      <w:r>
        <w:t xml:space="preserve">téléchargeable (trame habitation ou commerciale selon le type de</w:t>
      </w:r>
      <w:r>
        <w:t xml:space="preserve"> </w:t>
      </w:r>
      <w:r>
        <w:t xml:space="preserve">locataire).</w:t>
      </w:r>
    </w:p>
    <w:p>
      <w:pPr>
        <w:pStyle w:val="BodyText"/>
      </w:pPr>
      <w:r>
        <w:rPr>
          <w:b/>
          <w:bCs/>
        </w:rPr>
        <w:t xml:space="preserve">Clôturer un contrat</w:t>
      </w:r>
      <w:r>
        <w:t xml:space="preserve"> </w:t>
      </w:r>
      <w:r>
        <w:t xml:space="preserve">(départ du locataire) : depuis la fiche contrat,</w:t>
      </w:r>
      <w:r>
        <w:t xml:space="preserve"> </w:t>
      </w:r>
      <w:r>
        <w:t xml:space="preserve">bouton</w:t>
      </w:r>
      <w:r>
        <w:t xml:space="preserve"> </w:t>
      </w:r>
      <w:r>
        <w:rPr>
          <w:i/>
          <w:iCs/>
        </w:rPr>
        <w:t xml:space="preserve">Clôturer</w:t>
      </w:r>
      <w:r>
        <w:t xml:space="preserve"> </w:t>
      </w:r>
      <w:r>
        <w:t xml:space="preserve">— indiquer le motif et, le cas échéant, proposer une</w:t>
      </w:r>
      <w:r>
        <w:t xml:space="preserve"> </w:t>
      </w:r>
      <w:r>
        <w:t xml:space="preserve">retenue sur la caution avec justification. La décision finale revient au</w:t>
      </w:r>
      <w:r>
        <w:t xml:space="preserve"> </w:t>
      </w:r>
      <w:r>
        <w:t xml:space="preserve">Gérant.</w:t>
      </w:r>
    </w:p>
    <w:bookmarkEnd w:id="13"/>
    <w:bookmarkStart w:id="14" w:name="paiements"/>
    <w:p>
      <w:pPr>
        <w:pStyle w:val="Heading3"/>
      </w:pPr>
      <w:r>
        <w:t xml:space="preserve">3.4 Paiements</w:t>
      </w:r>
    </w:p>
    <w:p>
      <w:pPr>
        <w:pStyle w:val="FirstParagraph"/>
      </w:pPr>
      <w:r>
        <w:rPr>
          <w:i/>
          <w:iCs/>
        </w:rPr>
        <w:t xml:space="preserve">Paiements → Nouveau</w:t>
      </w:r>
      <w:r>
        <w:t xml:space="preserve"> </w:t>
      </w:r>
      <w:r>
        <w:t xml:space="preserve">: sélectionner le locataire, la date, le montant et</w:t>
      </w:r>
      <w:r>
        <w:t xml:space="preserve"> </w:t>
      </w:r>
      <w:r>
        <w:t xml:space="preserve">le mode (espèces, virement, chèque, Mobile Money).</w:t>
      </w:r>
      <w:r>
        <w:t xml:space="preserve"> </w:t>
      </w:r>
      <w:r>
        <w:rPr>
          <w:b/>
          <w:bCs/>
        </w:rPr>
        <w:t xml:space="preserve">Il n’y a pas de</w:t>
      </w:r>
      <w:r>
        <w:rPr>
          <w:b/>
          <w:bCs/>
        </w:rPr>
        <w:t xml:space="preserve"> </w:t>
      </w:r>
      <w:r>
        <w:rPr>
          <w:b/>
          <w:bCs/>
        </w:rPr>
        <w:t xml:space="preserve">facture à choisir</w:t>
      </w:r>
      <w:r>
        <w:t xml:space="preserve"> </w:t>
      </w:r>
      <w:r>
        <w:t xml:space="preserve">: le paiement s’impute automatiquement sur la facture</w:t>
      </w:r>
      <w:r>
        <w:t xml:space="preserve"> </w:t>
      </w:r>
      <w:r>
        <w:t xml:space="preserve">due la plus ancienne. Une quittance PDF est générée immédiatement.</w:t>
      </w:r>
    </w:p>
    <w:p>
      <w:pPr>
        <w:pStyle w:val="BodyText"/>
      </w:pPr>
      <w:r>
        <w:t xml:space="preserve">Une erreur de saisie ne se corrige pas soi-même : elle doit être signalée</w:t>
      </w:r>
      <w:r>
        <w:t xml:space="preserve"> </w:t>
      </w:r>
      <w:r>
        <w:t xml:space="preserve">au Gérant, seul habilité à valider une correction.</w:t>
      </w:r>
    </w:p>
    <w:bookmarkEnd w:id="14"/>
    <w:bookmarkStart w:id="15" w:name="documents-et-cautions"/>
    <w:p>
      <w:pPr>
        <w:pStyle w:val="Heading3"/>
      </w:pPr>
      <w:r>
        <w:t xml:space="preserve">3.5 Documents et cautions</w:t>
      </w:r>
    </w:p>
    <w:p>
      <w:pPr>
        <w:pStyle w:val="FirstParagraph"/>
      </w:pPr>
      <w:r>
        <w:rPr>
          <w:i/>
          <w:iCs/>
        </w:rPr>
        <w:t xml:space="preserve">Documents → Nouveau</w:t>
      </w:r>
      <w:r>
        <w:t xml:space="preserve"> </w:t>
      </w:r>
      <w:r>
        <w:t xml:space="preserve">: coller le lien Google Drive du document (titre</w:t>
      </w:r>
      <w:r>
        <w:t xml:space="preserve"> </w:t>
      </w:r>
      <w:r>
        <w:t xml:space="preserve">foncier, état des lieux…) et l’associer à un bien, locataire, contrat ou</w:t>
      </w:r>
      <w:r>
        <w:t xml:space="preserve"> </w:t>
      </w:r>
      <w:r>
        <w:t xml:space="preserve">facture.</w:t>
      </w:r>
      <w:r>
        <w:t xml:space="preserve"> </w:t>
      </w:r>
      <w:r>
        <w:rPr>
          <w:b/>
          <w:bCs/>
        </w:rPr>
        <w:t xml:space="preserve">Aucun fichier n’est envoyé dans l’application</w:t>
      </w:r>
      <w:r>
        <w:t xml:space="preserve"> </w:t>
      </w:r>
      <w:r>
        <w:t xml:space="preserve">— seul le lien</w:t>
      </w:r>
      <w:r>
        <w:t xml:space="preserve"> </w:t>
      </w:r>
      <w:r>
        <w:t xml:space="preserve">est enregistré.</w:t>
      </w:r>
    </w:p>
    <w:p>
      <w:pPr>
        <w:pStyle w:val="BodyText"/>
      </w:pPr>
      <w:r>
        <w:rPr>
          <w:i/>
          <w:iCs/>
        </w:rPr>
        <w:t xml:space="preserve">Cautions</w:t>
      </w:r>
      <w:r>
        <w:t xml:space="preserve"> </w:t>
      </w:r>
      <w:r>
        <w:t xml:space="preserve">: consultation de l’état de toutes les cautions ; le</w:t>
      </w:r>
      <w:r>
        <w:t xml:space="preserve"> </w:t>
      </w:r>
      <w:r>
        <w:t xml:space="preserve">Gestionnaire peut y constater une retenue proposée, mais la validation</w:t>
      </w:r>
      <w:r>
        <w:t xml:space="preserve"> </w:t>
      </w:r>
      <w:r>
        <w:t xml:space="preserve">finale (remboursement ou retenue) revient au Gérant.</w:t>
      </w:r>
    </w:p>
    <w:bookmarkEnd w:id="15"/>
    <w:bookmarkEnd w:id="16"/>
    <w:bookmarkStart w:id="18" w:name="gérant-validations-et-pilotage"/>
    <w:p>
      <w:pPr>
        <w:pStyle w:val="Heading2"/>
      </w:pPr>
      <w:r>
        <w:t xml:space="preserve">4. Gérant — validations et pilotage</w:t>
      </w:r>
    </w:p>
    <w:p>
      <w:pPr>
        <w:pStyle w:val="FirstParagraph"/>
      </w:pPr>
      <w:r>
        <w:t xml:space="preserve">Le Gérant a les mêmes écrans de consultation que le Gestionnaire, avec en</w:t>
      </w:r>
      <w:r>
        <w:t xml:space="preserve"> </w:t>
      </w:r>
      <w:r>
        <w:t xml:space="preserve">plus les actions de validation qui engagent l’agence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Où</w:t>
            </w:r>
          </w:p>
        </w:tc>
        <w:tc>
          <w:tcPr/>
          <w:p>
            <w:pPr>
              <w:pStyle w:val="Compact"/>
            </w:pPr>
            <w:r>
              <w:t xml:space="preserve">Effet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Valider un contrat</w:t>
            </w:r>
          </w:p>
        </w:tc>
        <w:tc>
          <w:tcPr/>
          <w:p>
            <w:pPr>
              <w:pStyle w:val="Compact"/>
            </w:pPr>
            <w:r>
              <w:t xml:space="preserve">Fiche contrat, bouton</w:t>
            </w:r>
            <w:r>
              <w:t xml:space="preserve"> </w:t>
            </w:r>
            <w:r>
              <w:rPr>
                <w:i/>
                <w:iCs/>
              </w:rPr>
              <w:t xml:space="preserve">Valider</w:t>
            </w:r>
          </w:p>
        </w:tc>
        <w:tc>
          <w:tcPr/>
          <w:p>
            <w:pPr>
              <w:pStyle w:val="Compact"/>
            </w:pPr>
            <w:r>
              <w:t xml:space="preserve">Contrat « Actif », bien « Occupé », facturation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Valider une révision de loyer</w:t>
            </w:r>
          </w:p>
        </w:tc>
        <w:tc>
          <w:tcPr/>
          <w:p>
            <w:pPr>
              <w:pStyle w:val="Compact"/>
            </w:pPr>
            <w:r>
              <w:t xml:space="preserve">Fiche contrat</w:t>
            </w:r>
          </w:p>
        </w:tc>
        <w:tc>
          <w:tcPr/>
          <w:p>
            <w:pPr>
              <w:pStyle w:val="Compact"/>
            </w:pPr>
            <w:r>
              <w:t xml:space="preserve">Nouveau loyer appliqué aux prochaines factures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Corriger un paiement</w:t>
            </w:r>
          </w:p>
        </w:tc>
        <w:tc>
          <w:tcPr/>
          <w:p>
            <w:pPr>
              <w:pStyle w:val="Compact"/>
            </w:pPr>
            <w:r>
              <w:t xml:space="preserve">Fiche paiement, bouton</w:t>
            </w:r>
            <w:r>
              <w:t xml:space="preserve"> </w:t>
            </w:r>
            <w:r>
              <w:rPr>
                <w:i/>
                <w:iCs/>
              </w:rPr>
              <w:t xml:space="preserve">Corriger</w:t>
            </w:r>
          </w:p>
        </w:tc>
        <w:tc>
          <w:tcPr/>
          <w:p>
            <w:pPr>
              <w:pStyle w:val="Compact"/>
            </w:pPr>
            <w:r>
              <w:t xml:space="preserve">Montant/mode corrigé, motif conservé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Décider du sort d’une caution</w:t>
            </w:r>
          </w:p>
        </w:tc>
        <w:tc>
          <w:tcPr/>
          <w:p>
            <w:pPr>
              <w:pStyle w:val="Compact"/>
            </w:pPr>
            <w:r>
              <w:t xml:space="preserve">Fiche contrat clôturé</w:t>
            </w:r>
          </w:p>
        </w:tc>
        <w:tc>
          <w:tcPr/>
          <w:p>
            <w:pPr>
              <w:pStyle w:val="Compact"/>
            </w:pPr>
            <w:r>
              <w:t xml:space="preserve">Remboursement intégral ou retenue motivée</w:t>
            </w:r>
          </w:p>
        </w:tc>
      </w:tr>
    </w:tbl>
    <w:p>
      <w:pPr>
        <w:pStyle w:val="BodyText"/>
      </w:pPr>
      <w:r>
        <w:t xml:space="preserve">Le Gérant reçoit une notification interne (icône en haut de l’écran) à</w:t>
      </w:r>
      <w:r>
        <w:t xml:space="preserve"> </w:t>
      </w:r>
      <w:r>
        <w:t xml:space="preserve">chaque action en attente de sa validation.</w:t>
      </w:r>
    </w:p>
    <w:bookmarkStart w:id="17" w:name="rapports-et-journal-daudit"/>
    <w:p>
      <w:pPr>
        <w:pStyle w:val="Heading3"/>
      </w:pPr>
      <w:r>
        <w:t xml:space="preserve">Rapports et journal d’audit</w:t>
      </w:r>
    </w:p>
    <w:p>
      <w:pPr>
        <w:pStyle w:val="FirstParagraph"/>
      </w:pPr>
      <w:r>
        <w:rPr>
          <w:i/>
          <w:iCs/>
        </w:rPr>
        <w:t xml:space="preserve">Rapports</w:t>
      </w:r>
      <w:r>
        <w:t xml:space="preserve"> </w:t>
      </w:r>
      <w:r>
        <w:t xml:space="preserve">: 16 rapports (immobiliers, locataires/contrats, financiers,</w:t>
      </w:r>
      <w:r>
        <w:t xml:space="preserve"> </w:t>
      </w:r>
      <w:r>
        <w:t xml:space="preserve">synthèse), filtrables et exportables en Excel.</w:t>
      </w:r>
      <w:r>
        <w:t xml:space="preserve"> </w:t>
      </w:r>
      <w:r>
        <w:rPr>
          <w:i/>
          <w:iCs/>
        </w:rPr>
        <w:t xml:space="preserve">Journal d’audit</w:t>
      </w:r>
      <w:r>
        <w:t xml:space="preserve"> </w:t>
      </w:r>
      <w:r>
        <w:t xml:space="preserve">: historique</w:t>
      </w:r>
      <w:r>
        <w:t xml:space="preserve"> </w:t>
      </w:r>
      <w:r>
        <w:t xml:space="preserve">de toutes les opérations sensibles (qui, quoi, quand), filtrable par</w:t>
      </w:r>
      <w:r>
        <w:t xml:space="preserve"> </w:t>
      </w:r>
      <w:r>
        <w:t xml:space="preserve">utilisateur, entité et période.</w:t>
      </w:r>
    </w:p>
    <w:bookmarkEnd w:id="17"/>
    <w:bookmarkEnd w:id="18"/>
    <w:bookmarkStart w:id="21" w:name="administrateur"/>
    <w:p>
      <w:pPr>
        <w:pStyle w:val="Heading2"/>
      </w:pPr>
      <w:r>
        <w:t xml:space="preserve">5. Administrateur</w:t>
      </w:r>
    </w:p>
    <w:p>
      <w:pPr>
        <w:pStyle w:val="FirstParagraph"/>
      </w:pPr>
      <w:r>
        <w:t xml:space="preserve">En plus de tout ce que voit le Gérant :</w:t>
      </w:r>
    </w:p>
    <w:bookmarkStart w:id="19" w:name="utilisateurs"/>
    <w:p>
      <w:pPr>
        <w:pStyle w:val="Heading3"/>
      </w:pPr>
      <w:r>
        <w:t xml:space="preserve">5.1 Utilisateurs</w:t>
      </w:r>
    </w:p>
    <w:p>
      <w:pPr>
        <w:pStyle w:val="FirstParagraph"/>
      </w:pPr>
      <w:r>
        <w:rPr>
          <w:i/>
          <w:iCs/>
        </w:rPr>
        <w:t xml:space="preserve">Utilisateurs → Nouveau</w:t>
      </w:r>
      <w:r>
        <w:t xml:space="preserve"> </w:t>
      </w:r>
      <w:r>
        <w:t xml:space="preserve">: créer un compte avec un profil unique</w:t>
      </w:r>
      <w:r>
        <w:t xml:space="preserve"> </w:t>
      </w:r>
      <w:r>
        <w:t xml:space="preserve">(Administrateur, Gérant, Gestionnaire locatif, ou Consultation). Le mot de</w:t>
      </w:r>
      <w:r>
        <w:t xml:space="preserve"> </w:t>
      </w:r>
      <w:r>
        <w:t xml:space="preserve">passe initial doit contenir au moins 8 caractères, une majuscule et un</w:t>
      </w:r>
      <w:r>
        <w:t xml:space="preserve"> </w:t>
      </w:r>
      <w:r>
        <w:t xml:space="preserve">chiffre.</w:t>
      </w:r>
    </w:p>
    <w:bookmarkEnd w:id="19"/>
    <w:bookmarkStart w:id="20" w:name="import-de-données"/>
    <w:p>
      <w:pPr>
        <w:pStyle w:val="Heading3"/>
      </w:pPr>
      <w:r>
        <w:t xml:space="preserve">5.2 Import de données</w:t>
      </w:r>
    </w:p>
    <w:p>
      <w:pPr>
        <w:pStyle w:val="FirstParagraph"/>
      </w:pPr>
      <w:r>
        <w:rPr>
          <w:i/>
          <w:iCs/>
        </w:rPr>
        <w:t xml:space="preserve">Import de données</w:t>
      </w:r>
      <w:r>
        <w:t xml:space="preserve"> </w:t>
      </w:r>
      <w:r>
        <w:t xml:space="preserve">: réservé au démarrage ou à une reprise ponctuelle.</w:t>
      </w:r>
    </w:p>
    <w:p>
      <w:pPr>
        <w:pStyle w:val="Compact"/>
        <w:numPr>
          <w:ilvl w:val="0"/>
          <w:numId w:val="1003"/>
        </w:numPr>
      </w:pPr>
      <w:r>
        <w:t xml:space="preserve">Télécharger le modèle Excel (bouton en haut de l’écran).</w:t>
      </w:r>
    </w:p>
    <w:p>
      <w:pPr>
        <w:pStyle w:val="Compact"/>
        <w:numPr>
          <w:ilvl w:val="0"/>
          <w:numId w:val="1003"/>
        </w:numPr>
      </w:pPr>
      <w:r>
        <w:t xml:space="preserve">Remplir les 3 feuilles (Biens, Locataires, Contrats) en suivant les</w:t>
      </w:r>
      <w:r>
        <w:t xml:space="preserve"> </w:t>
      </w:r>
      <w:r>
        <w:t xml:space="preserve">instructions incluses dans le fichier — supprimer les lignes d’exemple.</w:t>
      </w:r>
    </w:p>
    <w:p>
      <w:pPr>
        <w:pStyle w:val="Compact"/>
        <w:numPr>
          <w:ilvl w:val="0"/>
          <w:numId w:val="1003"/>
        </w:numPr>
      </w:pPr>
      <w:r>
        <w:t xml:space="preserve">Charger le fichier rempli et cliquer sur</w:t>
      </w:r>
      <w:r>
        <w:t xml:space="preserve"> </w:t>
      </w:r>
      <w:r>
        <w:rPr>
          <w:i/>
          <w:iCs/>
        </w:rPr>
        <w:t xml:space="preserve">Analyser</w:t>
      </w:r>
      <w:r>
        <w:t xml:space="preserve"> </w:t>
      </w:r>
      <w:r>
        <w:t xml:space="preserve">: la liste des</w:t>
      </w:r>
      <w:r>
        <w:t xml:space="preserve"> </w:t>
      </w:r>
      <w:r>
        <w:t xml:space="preserve">erreurs éventuelles s’affiche (rien n’est encore enregistré).</w:t>
      </w:r>
    </w:p>
    <w:p>
      <w:pPr>
        <w:pStyle w:val="Compact"/>
        <w:numPr>
          <w:ilvl w:val="0"/>
          <w:numId w:val="1003"/>
        </w:numPr>
      </w:pPr>
      <w:r>
        <w:t xml:space="preserve">Une fois qu’il n’y a plus d’erreur, cliquer sur</w:t>
      </w:r>
      <w:r>
        <w:t xml:space="preserve"> </w:t>
      </w:r>
      <w:r>
        <w:rPr>
          <w:i/>
          <w:iCs/>
        </w:rPr>
        <w:t xml:space="preserve">Confirmer l’import</w:t>
      </w:r>
      <w:r>
        <w:t xml:space="preserve">.</w:t>
      </w:r>
    </w:p>
    <w:p>
      <w:pPr>
        <w:pStyle w:val="FirstParagraph"/>
      </w:pPr>
      <w:r>
        <w:t xml:space="preserve">Les contrats importés sont considérés comme en cours (actifs) dès l’import.</w:t>
      </w:r>
    </w:p>
    <w:bookmarkEnd w:id="20"/>
    <w:bookmarkEnd w:id="21"/>
    <w:bookmarkStart w:id="22" w:name="consultation"/>
    <w:p>
      <w:pPr>
        <w:pStyle w:val="Heading2"/>
      </w:pPr>
      <w:r>
        <w:t xml:space="preserve">6. Consultation</w:t>
      </w:r>
    </w:p>
    <w:p>
      <w:pPr>
        <w:pStyle w:val="FirstParagraph"/>
      </w:pPr>
      <w:r>
        <w:t xml:space="preserve">Accès en lecture seule à l’ensemble des rubriques (biens, locataires,</w:t>
      </w:r>
      <w:r>
        <w:t xml:space="preserve"> </w:t>
      </w:r>
      <w:r>
        <w:t xml:space="preserve">contrats, factures, paiements, cautions, documents, rapports, tableau de</w:t>
      </w:r>
      <w:r>
        <w:t xml:space="preserve"> </w:t>
      </w:r>
      <w:r>
        <w:t xml:space="preserve">bord). Aucune action de création, modification ou validation n’est</w:t>
      </w:r>
      <w:r>
        <w:t xml:space="preserve"> </w:t>
      </w:r>
      <w:r>
        <w:t xml:space="preserve">disponible pour ce profil — utile pour un comptable ou un superviseur qui a</w:t>
      </w:r>
      <w:r>
        <w:t xml:space="preserve"> </w:t>
      </w:r>
      <w:r>
        <w:t xml:space="preserve">besoin de voir les données sans intervenir.</w:t>
      </w:r>
    </w:p>
    <w:bookmarkEnd w:id="22"/>
    <w:bookmarkStart w:id="23" w:name="questions-fréquentes"/>
    <w:p>
      <w:pPr>
        <w:pStyle w:val="Heading2"/>
      </w:pPr>
      <w:r>
        <w:t xml:space="preserve">7. Questions fréquentes</w:t>
      </w:r>
    </w:p>
    <w:p>
      <w:pPr>
        <w:pStyle w:val="FirstParagraph"/>
      </w:pPr>
      <w:r>
        <w:rPr>
          <w:b/>
          <w:bCs/>
        </w:rPr>
        <w:t xml:space="preserve">Le bouton que je cherche n’apparaît pas.</w:t>
      </w:r>
      <w:r>
        <w:t xml:space="preserve"> </w:t>
      </w:r>
      <w:r>
        <w:t xml:space="preserve">Il dépend probablement du</w:t>
      </w:r>
      <w:r>
        <w:t xml:space="preserve"> </w:t>
      </w:r>
      <w:r>
        <w:t xml:space="preserve">profil connecté (voir tableau ci-dessous) — vérifier le profil affiché en</w:t>
      </w:r>
      <w:r>
        <w:t xml:space="preserve"> </w:t>
      </w:r>
      <w:r>
        <w:t xml:space="preserve">bas du menu de gauche.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Fonction</w:t>
            </w:r>
          </w:p>
        </w:tc>
        <w:tc>
          <w:tcPr/>
          <w:p>
            <w:pPr>
              <w:pStyle w:val="Compact"/>
            </w:pPr>
            <w:r>
              <w:t xml:space="preserve">Administrateur</w:t>
            </w:r>
          </w:p>
        </w:tc>
        <w:tc>
          <w:tcPr/>
          <w:p>
            <w:pPr>
              <w:pStyle w:val="Compact"/>
            </w:pPr>
            <w:r>
              <w:t xml:space="preserve">Gérant</w:t>
            </w:r>
          </w:p>
        </w:tc>
        <w:tc>
          <w:tcPr/>
          <w:p>
            <w:pPr>
              <w:pStyle w:val="Compact"/>
            </w:pPr>
            <w:r>
              <w:t xml:space="preserve">Gestionnaire locatif</w:t>
            </w:r>
          </w:p>
        </w:tc>
        <w:tc>
          <w:tcPr/>
          <w:p>
            <w:pPr>
              <w:pStyle w:val="Compact"/>
            </w:pPr>
            <w:r>
              <w:t xml:space="preserve">Consultation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Créer/modifier biens, locataires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Créer un contrat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Valider un contrat / une révision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Enregistrer un paiement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Corriger un paiement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Décider du sort d’une caution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Gérer les utilisateurs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Importer des données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Consulter (biens, contrats, rapports…)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Un montant s’affiche sans décimales, est-ce normal ?</w:t>
      </w:r>
      <w:r>
        <w:t xml:space="preserve"> </w:t>
      </w:r>
      <w:r>
        <w:t xml:space="preserve">Oui — tous les</w:t>
      </w:r>
      <w:r>
        <w:t xml:space="preserve"> </w:t>
      </w:r>
      <w:r>
        <w:t xml:space="preserve">montants sont en FCFA, une devise qui ne s’affiche jamais avec des</w:t>
      </w:r>
      <w:r>
        <w:t xml:space="preserve"> </w:t>
      </w:r>
      <w:r>
        <w:t xml:space="preserve">centimes.</w:t>
      </w:r>
    </w:p>
    <w:p>
      <w:pPr>
        <w:pStyle w:val="BodyText"/>
      </w:pPr>
      <w:r>
        <w:rPr>
          <w:b/>
          <w:bCs/>
        </w:rPr>
        <w:t xml:space="preserve">Je suis déconnecté après un moment d’absence.</w:t>
      </w:r>
      <w:r>
        <w:t xml:space="preserve"> </w:t>
      </w:r>
      <w:r>
        <w:t xml:space="preserve">C’est normal et voulu</w:t>
      </w:r>
      <w:r>
        <w:t xml:space="preserve"> </w:t>
      </w:r>
      <w:r>
        <w:t xml:space="preserve">(sécurité) : reconnexion en quelques secondes avec les mêmes identifiants.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utilisateur — Application de gestion locative CIMEC</dc:title>
  <dc:creator/>
  <cp:keywords/>
  <dcterms:created xsi:type="dcterms:W3CDTF">2026-08-01T14:22:19Z</dcterms:created>
  <dcterms:modified xsi:type="dcterms:W3CDTF">2026-08-01T14:22:19Z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stitre">
    <vt:lpwstr>Agence CISSE MEDOUNE — Abidjan</vt:lpwstr>
  </property>
  <property fmtid="{D5CDD505-2E9C-101B-9397-08002B2CF9AE}" pid="3" name="titre">
    <vt:lpwstr>Guide utilisateur — Application de gestion locative CIMEC</vt:lpwstr>
  </property>
</Properties>
</file>