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doc" ContentType="application/msword"/>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C7A62" w:rsidRDefault="00EC7A62" w:rsidP="00EC7A62">
      <w:pPr>
        <w:pStyle w:val="Heading2"/>
      </w:pPr>
      <w:r>
        <w:t>Domain Role Ontologies</w:t>
      </w:r>
    </w:p>
    <w:p w:rsidR="00EC7A62" w:rsidRDefault="00EC7A62" w:rsidP="00EC7A62"/>
    <w:p w:rsidR="00EC7A62" w:rsidRDefault="00EC7A62" w:rsidP="00EC7A62">
      <w:pPr>
        <w:jc w:val="both"/>
      </w:pPr>
      <w:r>
        <w:t xml:space="preserve">In contrast with the invention </w:t>
      </w:r>
      <w:proofErr w:type="spellStart"/>
      <w:r>
        <w:t>keyterms</w:t>
      </w:r>
      <w:proofErr w:type="spellEnd"/>
      <w:r>
        <w:t>, which focus on roles of terms within individual patents, the purpose of domain role ontologies is to capture broad but useful distinctions within term vocabu</w:t>
      </w:r>
      <w:r w:rsidR="00F43B02">
        <w:t xml:space="preserve">laries across entire domains.  </w:t>
      </w:r>
      <w:r>
        <w:t xml:space="preserve">Specifically, this module divides terms into </w:t>
      </w:r>
      <w:r w:rsidRPr="00560130">
        <w:rPr>
          <w:i/>
        </w:rPr>
        <w:t>tasks</w:t>
      </w:r>
      <w:r>
        <w:t xml:space="preserve">, </w:t>
      </w:r>
      <w:r w:rsidRPr="00560130">
        <w:rPr>
          <w:i/>
        </w:rPr>
        <w:t>components</w:t>
      </w:r>
      <w:r>
        <w:t xml:space="preserve">, and </w:t>
      </w:r>
      <w:r w:rsidRPr="00560130">
        <w:rPr>
          <w:i/>
        </w:rPr>
        <w:t>attributes</w:t>
      </w:r>
      <w:r w:rsidR="00F43B02">
        <w:t xml:space="preserve">. </w:t>
      </w:r>
      <w:r>
        <w:t xml:space="preserve">Tasks represent activities performed or goals achieved; components capture the objects comprising, produced or acted upon; and attributes refer to the dimensions or metrics </w:t>
      </w:r>
      <w:r w:rsidR="00F43B02">
        <w:t>that</w:t>
      </w:r>
      <w:r>
        <w:t xml:space="preserve"> inventions seek to aff</w:t>
      </w:r>
      <w:r w:rsidR="00F43B02">
        <w:t xml:space="preserve">ect. </w:t>
      </w:r>
      <w:r>
        <w:t xml:space="preserve">Attributes are further classified with respect to their default </w:t>
      </w:r>
      <w:r w:rsidRPr="00560130">
        <w:rPr>
          <w:i/>
        </w:rPr>
        <w:t>polarity</w:t>
      </w:r>
      <w:r>
        <w:t xml:space="preserve"> (whether the dimension is one typically intended to be increased or decreased).</w:t>
      </w:r>
    </w:p>
    <w:p w:rsidR="00EC7A62" w:rsidRDefault="00EC7A62" w:rsidP="00EC7A62">
      <w:pPr>
        <w:jc w:val="both"/>
      </w:pPr>
    </w:p>
    <w:p w:rsidR="00EC7A62" w:rsidRDefault="00EC7A62" w:rsidP="00EC7A62">
      <w:pPr>
        <w:jc w:val="both"/>
      </w:pPr>
      <w:r>
        <w:t xml:space="preserve">For example, within the computer science domain, tasks would include terms like </w:t>
      </w:r>
      <w:r w:rsidRPr="00560130">
        <w:rPr>
          <w:i/>
        </w:rPr>
        <w:t>backup operation, document management, communication</w:t>
      </w:r>
      <w:r>
        <w:t xml:space="preserve">; components would include </w:t>
      </w:r>
      <w:r w:rsidRPr="00560130">
        <w:rPr>
          <w:i/>
        </w:rPr>
        <w:t>memory subsystem, source file, object access protocol</w:t>
      </w:r>
      <w:r>
        <w:t xml:space="preserve">; attributes include </w:t>
      </w:r>
      <w:proofErr w:type="spellStart"/>
      <w:r w:rsidRPr="00560130">
        <w:rPr>
          <w:i/>
        </w:rPr>
        <w:t>cpu</w:t>
      </w:r>
      <w:proofErr w:type="spellEnd"/>
      <w:r w:rsidRPr="00560130">
        <w:rPr>
          <w:i/>
        </w:rPr>
        <w:t xml:space="preserve"> utilization, transport layer security, performance bottleneck</w:t>
      </w:r>
      <w:r>
        <w:t>.</w:t>
      </w:r>
    </w:p>
    <w:p w:rsidR="00EC7A62" w:rsidRDefault="00EC7A62" w:rsidP="00EC7A62">
      <w:pPr>
        <w:jc w:val="both"/>
      </w:pPr>
    </w:p>
    <w:p w:rsidR="00EC7A62" w:rsidRDefault="00EC7A62" w:rsidP="00EC7A62">
      <w:pPr>
        <w:jc w:val="both"/>
      </w:pPr>
      <w:r>
        <w:t xml:space="preserve">The patent corpus is divided into </w:t>
      </w:r>
      <w:proofErr w:type="spellStart"/>
      <w:r>
        <w:t>subcorpora</w:t>
      </w:r>
      <w:proofErr w:type="spellEnd"/>
      <w:r>
        <w:t xml:space="preserve"> by domain and by time (year of application). For each </w:t>
      </w:r>
      <w:proofErr w:type="spellStart"/>
      <w:r>
        <w:t>subcorpus</w:t>
      </w:r>
      <w:proofErr w:type="spellEnd"/>
      <w:r>
        <w:t xml:space="preserve">, a domain-specific naïve </w:t>
      </w:r>
      <w:proofErr w:type="spellStart"/>
      <w:r>
        <w:t>Bayes</w:t>
      </w:r>
      <w:proofErr w:type="spellEnd"/>
      <w:r>
        <w:t xml:space="preserve"> classifier is automatically generated using bootstrapping from a general-purpose annotation set. The domain specific classifier is then used to categorize terms for that domain.  Additionally, a </w:t>
      </w:r>
      <w:r w:rsidRPr="00560130">
        <w:rPr>
          <w:i/>
        </w:rPr>
        <w:t>domain specificity score</w:t>
      </w:r>
      <w:r>
        <w:t xml:space="preserve"> is computed for each term, based on the probability of appearance within a randomized subset o</w:t>
      </w:r>
      <w:r w:rsidR="002E6419">
        <w:t>f the entire patent collection.</w:t>
      </w:r>
      <w:r>
        <w:t xml:space="preserve"> This allows an analyst to browse the categorized terminology for any domain at varying levels of domain specificity.</w:t>
      </w:r>
    </w:p>
    <w:p w:rsidR="00EC7A62" w:rsidRDefault="00EC7A62" w:rsidP="00EC7A62">
      <w:pPr>
        <w:jc w:val="both"/>
      </w:pPr>
    </w:p>
    <w:p w:rsidR="00EC7A62" w:rsidRDefault="00EC7A62" w:rsidP="00EC7A62">
      <w:pPr>
        <w:jc w:val="both"/>
      </w:pPr>
      <w:r>
        <w:t>Models have been constructed for the domains of computer science, health, chemistry, agriculture and construction.  Examples of output for the health domain and computer science domain (at two levels of domain specificity) are presented below.</w:t>
      </w:r>
    </w:p>
    <w:p w:rsidR="00EC7A62" w:rsidRDefault="00EC7A62" w:rsidP="00EC7A62">
      <w:pPr>
        <w:jc w:val="both"/>
      </w:pPr>
    </w:p>
    <w:p w:rsidR="00EC7A62" w:rsidRDefault="009618DF" w:rsidP="00EC7A62">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pt;margin-top:31.45pt;width:458.85pt;height:212.3pt;z-index:251660288;mso-position-horizontal:absolute;mso-position-horizontal-relative:text;mso-position-vertical:absolute;mso-position-vertical-relative:text">
            <v:imagedata r:id="rId4" r:pict="rId5" o:title=""/>
            <w10:wrap type="topAndBottom"/>
          </v:shape>
          <o:OLEObject Type="Embed" ProgID="Word.Document.8" ShapeID="_x0000_s1026" DrawAspect="Content" ObjectID="_1451135189" r:id="rId6">
            <o:FieldCodes>\s</o:FieldCodes>
          </o:OLEObject>
        </w:pict>
      </w:r>
      <w:r w:rsidR="0009445A">
        <w:t>Healt</w:t>
      </w:r>
      <w:r w:rsidR="00EC7A62">
        <w:t>h classification examples;</w:t>
      </w:r>
    </w:p>
    <w:p w:rsidR="00EC7A62" w:rsidRDefault="00EC7A62" w:rsidP="00EC7A62">
      <w:pPr>
        <w:ind w:left="270"/>
        <w:jc w:val="both"/>
      </w:pPr>
    </w:p>
    <w:p w:rsidR="00EC7A62" w:rsidRDefault="00EC7A62" w:rsidP="00EC7A62">
      <w:pPr>
        <w:jc w:val="both"/>
      </w:pPr>
    </w:p>
    <w:p w:rsidR="00EC7A62" w:rsidRDefault="00EC7A62" w:rsidP="00EC7A62">
      <w:pPr>
        <w:jc w:val="both"/>
      </w:pPr>
      <w:r>
        <w:t>Computer science examples:</w:t>
      </w:r>
    </w:p>
    <w:p w:rsidR="00EC7A62" w:rsidRDefault="00F43B02" w:rsidP="00EC7A62">
      <w:pPr>
        <w:jc w:val="both"/>
      </w:pPr>
      <w:r>
        <w:rPr>
          <w:noProof/>
        </w:rPr>
        <w:pict>
          <v:shape id="_x0000_s1028" type="#_x0000_t75" style="position:absolute;left:0;text-align:left;margin-left:9pt;margin-top:17.85pt;width:441pt;height:221.3pt;z-index:251658240;mso-position-horizontal:absolute;mso-position-vertical:absolute">
            <v:imagedata r:id="rId7" r:pict="rId8" o:title=""/>
            <v:textbox style="mso-next-textbox:#_x0000_s1028"/>
            <w10:wrap type="topAndBottom"/>
          </v:shape>
          <o:OLEObject Type="Embed" ProgID="Word.Document.8" ShapeID="_x0000_s1028" DrawAspect="Content" ObjectID="_1451135190" r:id="rId9">
            <o:FieldCodes>\s</o:FieldCodes>
          </o:OLEObject>
        </w:pict>
      </w:r>
    </w:p>
    <w:p w:rsidR="00EC7A62" w:rsidRDefault="00EC7A62" w:rsidP="00EC7A62">
      <w:pPr>
        <w:jc w:val="both"/>
      </w:pPr>
    </w:p>
    <w:p w:rsidR="00F31C27" w:rsidRDefault="00EC7A62" w:rsidP="00F31C27">
      <w:pPr>
        <w:jc w:val="both"/>
      </w:pPr>
      <w:r>
        <w:t>Examples of polarity classification for the health and computer science are shown below.</w:t>
      </w:r>
    </w:p>
    <w:p w:rsidR="00F31C27" w:rsidRDefault="00F31C27"/>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047"/>
        <w:gridCol w:w="1360"/>
        <w:gridCol w:w="1283"/>
        <w:gridCol w:w="4878"/>
      </w:tblGrid>
      <w:tr w:rsidR="00F31C27" w:rsidRPr="00195363">
        <w:tc>
          <w:tcPr>
            <w:tcW w:w="1047" w:type="dxa"/>
          </w:tcPr>
          <w:p w:rsidR="00F31C27" w:rsidRPr="00665587" w:rsidRDefault="00F31C27" w:rsidP="00F744BB">
            <w:pPr>
              <w:pStyle w:val="ColingTextIndent"/>
              <w:ind w:firstLine="0"/>
              <w:rPr>
                <w:b/>
                <w:lang w:val="en-IE"/>
              </w:rPr>
            </w:pPr>
            <w:r w:rsidRPr="00665587">
              <w:rPr>
                <w:b/>
                <w:lang w:val="en-IE"/>
              </w:rPr>
              <w:t>Domain</w:t>
            </w:r>
          </w:p>
        </w:tc>
        <w:tc>
          <w:tcPr>
            <w:tcW w:w="1360" w:type="dxa"/>
          </w:tcPr>
          <w:p w:rsidR="00F31C27" w:rsidRPr="00665587" w:rsidRDefault="00F31C27" w:rsidP="00F744BB">
            <w:pPr>
              <w:pStyle w:val="ColingTextIndent"/>
              <w:ind w:firstLine="0"/>
              <w:rPr>
                <w:b/>
                <w:lang w:val="en-IE"/>
              </w:rPr>
            </w:pPr>
            <w:r w:rsidRPr="00665587">
              <w:rPr>
                <w:b/>
                <w:lang w:val="en-IE"/>
              </w:rPr>
              <w:t># attributes</w:t>
            </w:r>
          </w:p>
        </w:tc>
        <w:tc>
          <w:tcPr>
            <w:tcW w:w="1283" w:type="dxa"/>
          </w:tcPr>
          <w:p w:rsidR="00F31C27" w:rsidRPr="00665587" w:rsidRDefault="00F31C27" w:rsidP="00F744BB">
            <w:pPr>
              <w:pStyle w:val="ColingTextIndent"/>
              <w:ind w:firstLine="0"/>
              <w:rPr>
                <w:b/>
                <w:lang w:val="en-IE"/>
              </w:rPr>
            </w:pPr>
            <w:r w:rsidRPr="00665587">
              <w:rPr>
                <w:b/>
                <w:lang w:val="en-IE"/>
              </w:rPr>
              <w:t>% of total</w:t>
            </w:r>
          </w:p>
        </w:tc>
        <w:tc>
          <w:tcPr>
            <w:tcW w:w="4878" w:type="dxa"/>
          </w:tcPr>
          <w:p w:rsidR="00F31C27" w:rsidRPr="00665587" w:rsidRDefault="00F31C27" w:rsidP="00F744BB">
            <w:pPr>
              <w:pStyle w:val="ColingTextIndent"/>
              <w:ind w:firstLine="0"/>
              <w:rPr>
                <w:b/>
                <w:lang w:val="en-IE"/>
              </w:rPr>
            </w:pPr>
            <w:r w:rsidRPr="00665587">
              <w:rPr>
                <w:b/>
                <w:lang w:val="en-IE"/>
              </w:rPr>
              <w:t>Examples</w:t>
            </w:r>
          </w:p>
        </w:tc>
      </w:tr>
      <w:tr w:rsidR="00F31C27" w:rsidRPr="00195363">
        <w:tc>
          <w:tcPr>
            <w:tcW w:w="1047" w:type="dxa"/>
          </w:tcPr>
          <w:p w:rsidR="00F31C27" w:rsidRPr="00665587" w:rsidRDefault="00F31C27" w:rsidP="00F744BB">
            <w:pPr>
              <w:pStyle w:val="ColingTextIndent"/>
              <w:ind w:firstLine="0"/>
              <w:rPr>
                <w:i/>
                <w:lang w:val="en-IE"/>
              </w:rPr>
            </w:pPr>
            <w:r w:rsidRPr="00665587">
              <w:rPr>
                <w:i/>
                <w:lang w:val="en-IE"/>
              </w:rPr>
              <w:t>health  (pos)</w:t>
            </w:r>
          </w:p>
        </w:tc>
        <w:tc>
          <w:tcPr>
            <w:tcW w:w="1360" w:type="dxa"/>
          </w:tcPr>
          <w:p w:rsidR="00F31C27" w:rsidRPr="00665587" w:rsidRDefault="00F31C27" w:rsidP="00F744BB">
            <w:pPr>
              <w:pStyle w:val="ColingTextIndent"/>
              <w:ind w:firstLine="0"/>
              <w:rPr>
                <w:lang w:val="en-IE"/>
              </w:rPr>
            </w:pPr>
            <w:r w:rsidRPr="00665587">
              <w:rPr>
                <w:lang w:val="en-IE"/>
              </w:rPr>
              <w:t>43807</w:t>
            </w:r>
          </w:p>
        </w:tc>
        <w:tc>
          <w:tcPr>
            <w:tcW w:w="1283" w:type="dxa"/>
          </w:tcPr>
          <w:p w:rsidR="00F31C27" w:rsidRPr="00665587" w:rsidRDefault="00F31C27" w:rsidP="00F744BB">
            <w:pPr>
              <w:pStyle w:val="ColingTextIndent"/>
              <w:ind w:firstLine="0"/>
              <w:rPr>
                <w:lang w:val="en-IE"/>
              </w:rPr>
            </w:pPr>
            <w:r w:rsidRPr="00665587">
              <w:rPr>
                <w:lang w:val="en-IE"/>
              </w:rPr>
              <w:t>54%</w:t>
            </w:r>
          </w:p>
        </w:tc>
        <w:tc>
          <w:tcPr>
            <w:tcW w:w="4878" w:type="dxa"/>
          </w:tcPr>
          <w:p w:rsidR="00F31C27" w:rsidRPr="00665587" w:rsidRDefault="00F31C27" w:rsidP="00F744BB">
            <w:pPr>
              <w:pStyle w:val="ColingTextIndent"/>
              <w:ind w:firstLine="0"/>
              <w:rPr>
                <w:lang w:val="en-IE"/>
              </w:rPr>
            </w:pPr>
            <w:r w:rsidRPr="00665587">
              <w:rPr>
                <w:lang w:val="en-IE"/>
              </w:rPr>
              <w:t>ambulation, hemodynamic performance, atrial rate, anticoagulant activity, coaptation, blood oxygen saturation</w:t>
            </w:r>
          </w:p>
        </w:tc>
      </w:tr>
      <w:tr w:rsidR="00F31C27" w:rsidRPr="00195363">
        <w:tc>
          <w:tcPr>
            <w:tcW w:w="1047" w:type="dxa"/>
          </w:tcPr>
          <w:p w:rsidR="00F31C27" w:rsidRPr="00665587" w:rsidRDefault="00F31C27" w:rsidP="00F744BB">
            <w:pPr>
              <w:pStyle w:val="ColingTextIndent"/>
              <w:ind w:firstLine="0"/>
              <w:jc w:val="left"/>
              <w:rPr>
                <w:i/>
                <w:lang w:val="en-IE"/>
              </w:rPr>
            </w:pPr>
            <w:r w:rsidRPr="00665587">
              <w:rPr>
                <w:i/>
                <w:lang w:val="en-IE"/>
              </w:rPr>
              <w:t>health (neg)</w:t>
            </w:r>
          </w:p>
        </w:tc>
        <w:tc>
          <w:tcPr>
            <w:tcW w:w="1360" w:type="dxa"/>
          </w:tcPr>
          <w:p w:rsidR="00F31C27" w:rsidRPr="00665587" w:rsidRDefault="00F31C27" w:rsidP="00F744BB">
            <w:pPr>
              <w:pStyle w:val="ColingTextIndent"/>
              <w:ind w:firstLine="0"/>
              <w:rPr>
                <w:lang w:val="en-IE"/>
              </w:rPr>
            </w:pPr>
            <w:r w:rsidRPr="00665587">
              <w:rPr>
                <w:lang w:val="en-IE"/>
              </w:rPr>
              <w:t>37063</w:t>
            </w:r>
          </w:p>
        </w:tc>
        <w:tc>
          <w:tcPr>
            <w:tcW w:w="1283" w:type="dxa"/>
          </w:tcPr>
          <w:p w:rsidR="00F31C27" w:rsidRPr="00665587" w:rsidRDefault="00F31C27" w:rsidP="00F744BB">
            <w:pPr>
              <w:pStyle w:val="ColingTextIndent"/>
              <w:ind w:firstLine="0"/>
              <w:rPr>
                <w:lang w:val="en-IE"/>
              </w:rPr>
            </w:pPr>
            <w:r w:rsidRPr="00665587">
              <w:rPr>
                <w:lang w:val="en-IE"/>
              </w:rPr>
              <w:t>46%</w:t>
            </w:r>
          </w:p>
        </w:tc>
        <w:tc>
          <w:tcPr>
            <w:tcW w:w="4878" w:type="dxa"/>
          </w:tcPr>
          <w:p w:rsidR="00F31C27" w:rsidRPr="00665587" w:rsidRDefault="00F31C27" w:rsidP="00F744BB">
            <w:pPr>
              <w:pStyle w:val="ColingTextIndent"/>
              <w:ind w:firstLine="0"/>
              <w:rPr>
                <w:lang w:val="en-IE"/>
              </w:rPr>
            </w:pPr>
            <w:r w:rsidRPr="00665587">
              <w:rPr>
                <w:lang w:val="en-IE"/>
              </w:rPr>
              <w:t>bronchospasm, thrombogenicity, ventricular pacing, withdrawal symptoms, fibrin formation, cardiac dysfunction</w:t>
            </w:r>
          </w:p>
        </w:tc>
      </w:tr>
      <w:tr w:rsidR="00F31C27" w:rsidRPr="00195363">
        <w:tc>
          <w:tcPr>
            <w:tcW w:w="1047" w:type="dxa"/>
          </w:tcPr>
          <w:p w:rsidR="00F31C27" w:rsidRPr="00665587" w:rsidRDefault="00F31C27" w:rsidP="00F744BB">
            <w:pPr>
              <w:pStyle w:val="ColingTextIndent"/>
              <w:ind w:firstLine="0"/>
              <w:jc w:val="left"/>
              <w:rPr>
                <w:i/>
                <w:lang w:val="en-IE"/>
              </w:rPr>
            </w:pPr>
            <w:r w:rsidRPr="00665587">
              <w:rPr>
                <w:i/>
                <w:lang w:val="en-IE"/>
              </w:rPr>
              <w:t>computer science (pos)</w:t>
            </w:r>
          </w:p>
        </w:tc>
        <w:tc>
          <w:tcPr>
            <w:tcW w:w="1360" w:type="dxa"/>
          </w:tcPr>
          <w:p w:rsidR="00F31C27" w:rsidRPr="00665587" w:rsidRDefault="00F31C27" w:rsidP="00F744BB">
            <w:pPr>
              <w:pStyle w:val="ColingTextIndent"/>
              <w:ind w:firstLine="0"/>
              <w:rPr>
                <w:lang w:val="en-IE"/>
              </w:rPr>
            </w:pPr>
            <w:r w:rsidRPr="00665587">
              <w:rPr>
                <w:lang w:val="en-IE"/>
              </w:rPr>
              <w:t>32291</w:t>
            </w:r>
          </w:p>
        </w:tc>
        <w:tc>
          <w:tcPr>
            <w:tcW w:w="1283" w:type="dxa"/>
          </w:tcPr>
          <w:p w:rsidR="00F31C27" w:rsidRPr="00665587" w:rsidRDefault="00F31C27" w:rsidP="00F744BB">
            <w:pPr>
              <w:pStyle w:val="ColingTextIndent"/>
              <w:ind w:firstLine="0"/>
              <w:rPr>
                <w:lang w:val="en-IE"/>
              </w:rPr>
            </w:pPr>
            <w:r w:rsidRPr="00665587">
              <w:rPr>
                <w:lang w:val="en-IE"/>
              </w:rPr>
              <w:t>44%</w:t>
            </w:r>
          </w:p>
        </w:tc>
        <w:tc>
          <w:tcPr>
            <w:tcW w:w="4878" w:type="dxa"/>
          </w:tcPr>
          <w:p w:rsidR="00F31C27" w:rsidRPr="00665587" w:rsidRDefault="00F31C27" w:rsidP="00F744BB">
            <w:pPr>
              <w:pStyle w:val="ColingTextIndent"/>
              <w:ind w:firstLine="0"/>
              <w:rPr>
                <w:lang w:val="en-IE"/>
              </w:rPr>
            </w:pPr>
            <w:r w:rsidRPr="00665587">
              <w:rPr>
                <w:lang w:val="en-IE"/>
              </w:rPr>
              <w:t>transport layer security, processor capacity, cpu utilization, routability, network speeds, microprocessor performance</w:t>
            </w:r>
          </w:p>
        </w:tc>
      </w:tr>
      <w:tr w:rsidR="00F31C27" w:rsidRPr="00195363">
        <w:tc>
          <w:tcPr>
            <w:tcW w:w="1047" w:type="dxa"/>
          </w:tcPr>
          <w:p w:rsidR="00F31C27" w:rsidRPr="00665587" w:rsidRDefault="00F31C27" w:rsidP="00F744BB">
            <w:pPr>
              <w:pStyle w:val="ColingTextIndent"/>
              <w:ind w:firstLine="0"/>
              <w:jc w:val="left"/>
              <w:rPr>
                <w:i/>
                <w:lang w:val="en-IE"/>
              </w:rPr>
            </w:pPr>
            <w:r w:rsidRPr="00665587">
              <w:rPr>
                <w:i/>
                <w:lang w:val="en-IE"/>
              </w:rPr>
              <w:t>computer science (neg)</w:t>
            </w:r>
          </w:p>
        </w:tc>
        <w:tc>
          <w:tcPr>
            <w:tcW w:w="1360" w:type="dxa"/>
          </w:tcPr>
          <w:p w:rsidR="00F31C27" w:rsidRPr="00665587" w:rsidRDefault="00F31C27" w:rsidP="00F744BB">
            <w:pPr>
              <w:pStyle w:val="ColingTextIndent"/>
              <w:ind w:firstLine="0"/>
              <w:rPr>
                <w:lang w:val="en-IE"/>
              </w:rPr>
            </w:pPr>
            <w:r w:rsidRPr="00665587">
              <w:rPr>
                <w:lang w:val="en-IE"/>
              </w:rPr>
              <w:t>40998</w:t>
            </w:r>
          </w:p>
        </w:tc>
        <w:tc>
          <w:tcPr>
            <w:tcW w:w="1283" w:type="dxa"/>
          </w:tcPr>
          <w:p w:rsidR="00F31C27" w:rsidRPr="00665587" w:rsidRDefault="00F31C27" w:rsidP="00F744BB">
            <w:pPr>
              <w:pStyle w:val="ColingTextIndent"/>
              <w:ind w:firstLine="0"/>
              <w:rPr>
                <w:lang w:val="en-IE"/>
              </w:rPr>
            </w:pPr>
            <w:r w:rsidRPr="00665587">
              <w:rPr>
                <w:lang w:val="en-IE"/>
              </w:rPr>
              <w:t>56%</w:t>
            </w:r>
          </w:p>
        </w:tc>
        <w:tc>
          <w:tcPr>
            <w:tcW w:w="4878" w:type="dxa"/>
          </w:tcPr>
          <w:p w:rsidR="00F31C27" w:rsidRPr="00665587" w:rsidRDefault="00F31C27" w:rsidP="00F744BB">
            <w:pPr>
              <w:pStyle w:val="ColingTextIndent"/>
              <w:ind w:firstLine="0"/>
              <w:rPr>
                <w:lang w:val="en-IE"/>
              </w:rPr>
            </w:pPr>
            <w:r w:rsidRPr="00665587">
              <w:rPr>
                <w:lang w:val="en-IE"/>
              </w:rPr>
              <w:t>identity theft, deadlocks, system overhead, memory fragmentation, risk exposure, bus contention, software development costs, network latencies, data entry errors</w:t>
            </w:r>
          </w:p>
        </w:tc>
      </w:tr>
    </w:tbl>
    <w:p w:rsidR="00BF1638" w:rsidRDefault="002E6419"/>
    <w:sectPr w:rsidR="00BF1638" w:rsidSect="00391EB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C7A62"/>
    <w:rsid w:val="0009445A"/>
    <w:rsid w:val="002E6419"/>
    <w:rsid w:val="009618DF"/>
    <w:rsid w:val="00EC7A62"/>
    <w:rsid w:val="00F31C27"/>
    <w:rsid w:val="00F43B0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A62"/>
    <w:rPr>
      <w:rFonts w:eastAsiaTheme="minorEastAsia"/>
    </w:rPr>
  </w:style>
  <w:style w:type="paragraph" w:styleId="Heading2">
    <w:name w:val="heading 2"/>
    <w:basedOn w:val="Normal"/>
    <w:next w:val="Normal"/>
    <w:link w:val="Heading2Char"/>
    <w:uiPriority w:val="9"/>
    <w:unhideWhenUsed/>
    <w:qFormat/>
    <w:rsid w:val="00EC7A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EC7A62"/>
    <w:rPr>
      <w:rFonts w:asciiTheme="majorHAnsi" w:eastAsiaTheme="majorEastAsia" w:hAnsiTheme="majorHAnsi" w:cstheme="majorBidi"/>
      <w:b/>
      <w:bCs/>
      <w:color w:val="4F81BD" w:themeColor="accent1"/>
      <w:sz w:val="26"/>
      <w:szCs w:val="26"/>
    </w:rPr>
  </w:style>
  <w:style w:type="paragraph" w:customStyle="1" w:styleId="ColingTextIndent">
    <w:name w:val="Coling Text Indent"/>
    <w:basedOn w:val="Normal"/>
    <w:link w:val="ColingTextIndentChar"/>
    <w:qFormat/>
    <w:rsid w:val="00F31C27"/>
    <w:pPr>
      <w:ind w:firstLine="227"/>
      <w:jc w:val="both"/>
    </w:pPr>
    <w:rPr>
      <w:rFonts w:ascii="Times New Roman" w:eastAsia="MS Mincho" w:hAnsi="Times New Roman" w:cs="Times New Roman"/>
      <w:sz w:val="22"/>
      <w:szCs w:val="20"/>
      <w:lang w:eastAsia="de-DE"/>
    </w:rPr>
  </w:style>
  <w:style w:type="character" w:customStyle="1" w:styleId="ColingTextIndentChar">
    <w:name w:val="Coling Text Indent Char"/>
    <w:link w:val="ColingTextIndent"/>
    <w:rsid w:val="00F31C27"/>
    <w:rPr>
      <w:rFonts w:ascii="Times New Roman" w:eastAsia="MS Mincho" w:hAnsi="Times New Roman" w:cs="Times New Roman"/>
      <w:sz w:val="22"/>
      <w:szCs w:val="20"/>
      <w:lang w:eastAsia="de-D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Microsoft_Word_97_-_2004_Document1.doc"/><Relationship Id="rId7" Type="http://schemas.openxmlformats.org/officeDocument/2006/relationships/image" Target="media/image3.png"/><Relationship Id="rId8" Type="http://schemas.openxmlformats.org/officeDocument/2006/relationships/image" Target="media/image4.pict"/><Relationship Id="rId9" Type="http://schemas.openxmlformats.org/officeDocument/2006/relationships/oleObject" Target="embeddings/Microsoft_Word_97_-_2004_Document2.doc"/><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384</Words>
  <Characters>2191</Characters>
  <Application>Microsoft Word 12.1.0</Application>
  <DocSecurity>0</DocSecurity>
  <Lines>18</Lines>
  <Paragraphs>4</Paragraphs>
  <ScaleCrop>false</ScaleCrop>
  <Company>Brandeis University</Company>
  <LinksUpToDate>false</LinksUpToDate>
  <CharactersWithSpaces>2690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Verhagen</dc:creator>
  <cp:keywords/>
  <cp:lastModifiedBy>Marc Verhagen</cp:lastModifiedBy>
  <cp:revision>5</cp:revision>
  <dcterms:created xsi:type="dcterms:W3CDTF">2018-01-12T17:07:00Z</dcterms:created>
  <dcterms:modified xsi:type="dcterms:W3CDTF">2018-01-12T21:20:00Z</dcterms:modified>
</cp:coreProperties>
</file>