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lsx" ContentType="application/vnd.openxmlformats-officedocument.spreadsheetml.sheet"/>
  <Default Extension="jpeg" ContentType="image/jpeg"/>
  <Default Extension="xml" ContentType="application/xml"/>
  <Override PartName="/word/charts/chart1.xml" ContentType="application/vnd.openxmlformats-officedocument.drawingml.chart+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D57071" w:rsidRDefault="00D57071" w:rsidP="00D57071">
      <w:pPr>
        <w:pStyle w:val="Heading2"/>
      </w:pPr>
      <w:r>
        <w:t>Maturity Score</w:t>
      </w:r>
    </w:p>
    <w:p w:rsidR="00D57071" w:rsidRDefault="00D57071" w:rsidP="00D57071"/>
    <w:p w:rsidR="00E64B04" w:rsidRDefault="002F028F" w:rsidP="002F028F">
      <w:pPr>
        <w:jc w:val="both"/>
      </w:pPr>
      <w:r>
        <w:t xml:space="preserve">Technologies are given a maturity score that gives an indication of how wide-spread the use of the technology is. </w:t>
      </w:r>
    </w:p>
    <w:p w:rsidR="00E64B04" w:rsidRDefault="00E64B04" w:rsidP="002F028F">
      <w:pPr>
        <w:jc w:val="both"/>
      </w:pPr>
    </w:p>
    <w:p w:rsidR="00443FE8" w:rsidRDefault="002F028F" w:rsidP="002F028F">
      <w:pPr>
        <w:jc w:val="both"/>
      </w:pPr>
      <w:r>
        <w:t xml:space="preserve">The maturity score is a number between 0 and 1 and the closer to 1 the more mature a technology is. </w:t>
      </w:r>
      <w:r w:rsidR="00E64B04">
        <w:t>I</w:t>
      </w:r>
      <w:r>
        <w:t xml:space="preserve">nput </w:t>
      </w:r>
      <w:r w:rsidR="00E64B04">
        <w:t xml:space="preserve">to this score is </w:t>
      </w:r>
      <w:r w:rsidR="00F12AA4">
        <w:t xml:space="preserve">the usage </w:t>
      </w:r>
      <w:r w:rsidR="00443FE8">
        <w:t>count</w:t>
      </w:r>
      <w:r w:rsidR="00F12AA4">
        <w:t>, which looks for specific occurrences of a technology term that indicate that</w:t>
      </w:r>
      <w:r>
        <w:t xml:space="preserve"> the technology is actually used. </w:t>
      </w:r>
      <w:r w:rsidR="00443FE8">
        <w:t>For example, take the sentenc</w:t>
      </w:r>
      <w:r w:rsidR="00F12AA4">
        <w:t xml:space="preserve">e </w:t>
      </w:r>
      <w:r w:rsidR="00443FE8">
        <w:t>below.</w:t>
      </w:r>
    </w:p>
    <w:p w:rsidR="00443FE8" w:rsidRDefault="00443FE8" w:rsidP="002F028F">
      <w:pPr>
        <w:jc w:val="both"/>
      </w:pPr>
    </w:p>
    <w:p w:rsidR="00443FE8" w:rsidRPr="00443FE8" w:rsidRDefault="00443FE8" w:rsidP="00443FE8">
      <w:pPr>
        <w:ind w:left="720"/>
        <w:jc w:val="both"/>
        <w:rPr>
          <w:i/>
        </w:rPr>
      </w:pPr>
      <w:r w:rsidRPr="00443FE8">
        <w:rPr>
          <w:i/>
        </w:rPr>
        <w:t>Fluorescence in situ hybridization (FISH) is a laboratory method used to detect and locate a DNA sequence</w:t>
      </w:r>
    </w:p>
    <w:p w:rsidR="00443FE8" w:rsidRDefault="00443FE8" w:rsidP="002F028F">
      <w:pPr>
        <w:jc w:val="both"/>
      </w:pPr>
    </w:p>
    <w:p w:rsidR="00443FE8" w:rsidRDefault="00443FE8" w:rsidP="002F028F">
      <w:pPr>
        <w:jc w:val="both"/>
      </w:pPr>
      <w:r>
        <w:t xml:space="preserve">This sentence indicates that </w:t>
      </w:r>
      <w:r w:rsidR="00CE6B72">
        <w:rPr>
          <w:i/>
        </w:rPr>
        <w:t>FISH</w:t>
      </w:r>
      <w:r w:rsidRPr="00443FE8">
        <w:t xml:space="preserve"> </w:t>
      </w:r>
      <w:r>
        <w:t>i</w:t>
      </w:r>
      <w:r w:rsidRPr="00443FE8">
        <w:t>s</w:t>
      </w:r>
      <w:r>
        <w:t xml:space="preserve"> a technology </w:t>
      </w:r>
      <w:r w:rsidR="00CE6B72">
        <w:t xml:space="preserve">that is actually </w:t>
      </w:r>
      <w:r>
        <w:t>in use. On the other hand, the sentence below provides no such evidence.</w:t>
      </w:r>
    </w:p>
    <w:p w:rsidR="00443FE8" w:rsidRDefault="00443FE8" w:rsidP="002F028F">
      <w:pPr>
        <w:jc w:val="both"/>
      </w:pPr>
    </w:p>
    <w:p w:rsidR="00443FE8" w:rsidRPr="00443FE8" w:rsidRDefault="00443FE8" w:rsidP="00443FE8">
      <w:pPr>
        <w:ind w:left="720"/>
        <w:jc w:val="both"/>
        <w:rPr>
          <w:i/>
        </w:rPr>
      </w:pPr>
      <w:r w:rsidRPr="00443FE8">
        <w:rPr>
          <w:i/>
        </w:rPr>
        <w:t>These fragments are on the order of 100 thousand base-pairs, and are the basis for most FISH probes.</w:t>
      </w:r>
    </w:p>
    <w:p w:rsidR="00443FE8" w:rsidRDefault="00443FE8" w:rsidP="002F028F">
      <w:pPr>
        <w:jc w:val="both"/>
      </w:pPr>
    </w:p>
    <w:p w:rsidR="002F028F" w:rsidRDefault="00443FE8" w:rsidP="002F028F">
      <w:pPr>
        <w:jc w:val="both"/>
      </w:pPr>
      <w:r>
        <w:t>The usage count</w:t>
      </w:r>
      <w:r w:rsidR="002F028F">
        <w:t xml:space="preserve"> evidence is derived using </w:t>
      </w:r>
      <w:r w:rsidR="00E64B04">
        <w:t xml:space="preserve">13 </w:t>
      </w:r>
      <w:r w:rsidR="002F028F">
        <w:t>ve</w:t>
      </w:r>
      <w:r w:rsidR="00E64B04">
        <w:t>ry simple patterns on the textual context of a</w:t>
      </w:r>
      <w:r w:rsidR="002F028F">
        <w:t xml:space="preserve"> technology </w:t>
      </w:r>
      <w:r w:rsidR="00E64B04">
        <w:t>term</w:t>
      </w:r>
      <w:r w:rsidR="002F028F">
        <w:t xml:space="preserve">. </w:t>
      </w:r>
      <w:r w:rsidR="00E64B04">
        <w:t>In the implementation, patterns are feature bundles that are compared to the feature vectors of the technology terms, if the intersection of the feature bundle and the vector is non-empty then the pattern matches</w:t>
      </w:r>
      <w:r>
        <w:t xml:space="preserve"> and the usage count for the term is incremented by one.</w:t>
      </w:r>
    </w:p>
    <w:p w:rsidR="00D57071" w:rsidRDefault="00D57071" w:rsidP="00D57071"/>
    <w:p w:rsidR="00D57071" w:rsidRDefault="00F12AA4" w:rsidP="00E64B04">
      <w:pPr>
        <w:jc w:val="both"/>
      </w:pPr>
      <w:r>
        <w:t xml:space="preserve">Patterns were created manually by selecting common features and determining whether the terms that have the feature were technologies that could be used. </w:t>
      </w:r>
      <w:r w:rsidR="00D57071">
        <w:t>Typically, the most useful feature is the pre</w:t>
      </w:r>
      <w:r>
        <w:t xml:space="preserve">vious </w:t>
      </w:r>
      <w:r w:rsidR="00D57071">
        <w:t>verb feature</w:t>
      </w:r>
      <w:r>
        <w:t xml:space="preserve"> (prev_V)</w:t>
      </w:r>
      <w:r w:rsidR="00D57071">
        <w:t xml:space="preserve">. </w:t>
      </w:r>
      <w:r w:rsidR="00E64B04">
        <w:t xml:space="preserve">There are 13 patterns for English, three of which are listed </w:t>
      </w:r>
      <w:r w:rsidR="00D57071">
        <w:t>below.</w:t>
      </w:r>
    </w:p>
    <w:p w:rsidR="00D57071" w:rsidRDefault="00D57071" w:rsidP="00D57071">
      <w:pPr>
        <w:jc w:val="both"/>
      </w:pPr>
    </w:p>
    <w:tbl>
      <w:tblPr>
        <w:tblStyle w:val="TableGrid"/>
        <w:tblW w:w="0" w:type="auto"/>
        <w:tblInd w:w="468" w:type="dxa"/>
        <w:tblLook w:val="04A0"/>
      </w:tblPr>
      <w:tblGrid>
        <w:gridCol w:w="2160"/>
        <w:gridCol w:w="6030"/>
      </w:tblGrid>
      <w:tr w:rsidR="00D57071">
        <w:tc>
          <w:tcPr>
            <w:tcW w:w="2160" w:type="dxa"/>
          </w:tcPr>
          <w:p w:rsidR="00D57071" w:rsidRDefault="00D57071" w:rsidP="00FB620D">
            <w:pPr>
              <w:jc w:val="both"/>
            </w:pPr>
            <w:r>
              <w:t>maturity-use:</w:t>
            </w:r>
          </w:p>
        </w:tc>
        <w:tc>
          <w:tcPr>
            <w:tcW w:w="6030" w:type="dxa"/>
          </w:tcPr>
          <w:p w:rsidR="00D57071" w:rsidRDefault="00D57071" w:rsidP="00FB620D">
            <w:pPr>
              <w:jc w:val="both"/>
            </w:pPr>
            <w:r>
              <w:t>prev_V = use | uses | used | using</w:t>
            </w:r>
          </w:p>
        </w:tc>
      </w:tr>
      <w:tr w:rsidR="00D57071">
        <w:tc>
          <w:tcPr>
            <w:tcW w:w="2160" w:type="dxa"/>
          </w:tcPr>
          <w:p w:rsidR="00D57071" w:rsidRDefault="00D57071" w:rsidP="00FB620D">
            <w:r>
              <w:t xml:space="preserve">maturity-select: </w:t>
            </w:r>
          </w:p>
        </w:tc>
        <w:tc>
          <w:tcPr>
            <w:tcW w:w="6030" w:type="dxa"/>
          </w:tcPr>
          <w:p w:rsidR="00D57071" w:rsidRDefault="00D57071" w:rsidP="00FB620D">
            <w:pPr>
              <w:jc w:val="both"/>
            </w:pPr>
            <w:r>
              <w:t>prev_V = select | selects | selected | selecting</w:t>
            </w:r>
          </w:p>
        </w:tc>
      </w:tr>
      <w:tr w:rsidR="00D57071">
        <w:tc>
          <w:tcPr>
            <w:tcW w:w="2160" w:type="dxa"/>
          </w:tcPr>
          <w:p w:rsidR="00D57071" w:rsidRDefault="00D57071" w:rsidP="00FB620D">
            <w:r>
              <w:t>maturity-store:</w:t>
            </w:r>
          </w:p>
        </w:tc>
        <w:tc>
          <w:tcPr>
            <w:tcW w:w="6030" w:type="dxa"/>
          </w:tcPr>
          <w:p w:rsidR="00D57071" w:rsidRDefault="00D57071" w:rsidP="00FB620D">
            <w:r>
              <w:t>prev_V = store | stores | stored | storing</w:t>
            </w:r>
          </w:p>
        </w:tc>
      </w:tr>
    </w:tbl>
    <w:p w:rsidR="00D57071" w:rsidRDefault="00D57071" w:rsidP="00D57071">
      <w:pPr>
        <w:jc w:val="both"/>
      </w:pPr>
    </w:p>
    <w:p w:rsidR="006F6F10" w:rsidRDefault="00F12AA4" w:rsidP="00D57071">
      <w:pPr>
        <w:jc w:val="both"/>
      </w:pPr>
      <w:r>
        <w:t>The p</w:t>
      </w:r>
      <w:r w:rsidR="00D57071">
        <w:t xml:space="preserve">attern matching </w:t>
      </w:r>
      <w:r>
        <w:t>used for creating</w:t>
      </w:r>
      <w:r w:rsidR="00443FE8">
        <w:t xml:space="preserve"> the usage count </w:t>
      </w:r>
      <w:r w:rsidR="00D57071">
        <w:t xml:space="preserve">is a simple and fast process </w:t>
      </w:r>
      <w:r>
        <w:t>that</w:t>
      </w:r>
      <w:r w:rsidR="00D57071">
        <w:t xml:space="preserve"> </w:t>
      </w:r>
      <w:r w:rsidR="00440C37">
        <w:t>is applied to all feature vectors for all terms</w:t>
      </w:r>
      <w:r w:rsidR="00D57071">
        <w:t xml:space="preserve">. </w:t>
      </w:r>
      <w:r w:rsidR="006F6F10">
        <w:t>Results are tallied for each term and for each year, so we will end up with a table like this</w:t>
      </w:r>
    </w:p>
    <w:p w:rsidR="006F6F10" w:rsidRDefault="006F6F10" w:rsidP="00D57071">
      <w:pPr>
        <w:jc w:val="both"/>
      </w:pPr>
    </w:p>
    <w:tbl>
      <w:tblPr>
        <w:tblStyle w:val="TableGrid"/>
        <w:tblW w:w="0" w:type="auto"/>
        <w:tblInd w:w="468" w:type="dxa"/>
        <w:tblLook w:val="00BF"/>
      </w:tblPr>
      <w:tblGrid>
        <w:gridCol w:w="1243"/>
        <w:gridCol w:w="748"/>
        <w:gridCol w:w="748"/>
        <w:gridCol w:w="748"/>
        <w:gridCol w:w="748"/>
        <w:gridCol w:w="748"/>
      </w:tblGrid>
      <w:tr w:rsidR="006F6F10">
        <w:tc>
          <w:tcPr>
            <w:tcW w:w="1243" w:type="dxa"/>
          </w:tcPr>
          <w:p w:rsidR="006F6F10" w:rsidRDefault="006F6F10" w:rsidP="00D57071">
            <w:pPr>
              <w:jc w:val="both"/>
            </w:pPr>
          </w:p>
        </w:tc>
        <w:tc>
          <w:tcPr>
            <w:tcW w:w="748" w:type="dxa"/>
          </w:tcPr>
          <w:p w:rsidR="006F6F10" w:rsidRDefault="006F6F10" w:rsidP="00D57071">
            <w:pPr>
              <w:jc w:val="both"/>
            </w:pPr>
            <w:r>
              <w:t>2010</w:t>
            </w:r>
          </w:p>
        </w:tc>
        <w:tc>
          <w:tcPr>
            <w:tcW w:w="748" w:type="dxa"/>
          </w:tcPr>
          <w:p w:rsidR="006F6F10" w:rsidRDefault="006F6F10" w:rsidP="00D57071">
            <w:pPr>
              <w:jc w:val="both"/>
            </w:pPr>
            <w:r>
              <w:t>2011</w:t>
            </w:r>
          </w:p>
        </w:tc>
        <w:tc>
          <w:tcPr>
            <w:tcW w:w="748" w:type="dxa"/>
          </w:tcPr>
          <w:p w:rsidR="006F6F10" w:rsidRDefault="006F6F10" w:rsidP="00D57071">
            <w:pPr>
              <w:jc w:val="both"/>
            </w:pPr>
            <w:r>
              <w:t>2012</w:t>
            </w:r>
          </w:p>
        </w:tc>
        <w:tc>
          <w:tcPr>
            <w:tcW w:w="748" w:type="dxa"/>
          </w:tcPr>
          <w:p w:rsidR="006F6F10" w:rsidRDefault="006F6F10" w:rsidP="00D57071">
            <w:pPr>
              <w:jc w:val="both"/>
            </w:pPr>
            <w:r>
              <w:t>2014</w:t>
            </w:r>
          </w:p>
        </w:tc>
        <w:tc>
          <w:tcPr>
            <w:tcW w:w="748" w:type="dxa"/>
          </w:tcPr>
          <w:p w:rsidR="006F6F10" w:rsidRDefault="006F6F10" w:rsidP="00D57071">
            <w:pPr>
              <w:jc w:val="both"/>
            </w:pPr>
            <w:r>
              <w:t>2015</w:t>
            </w:r>
          </w:p>
        </w:tc>
      </w:tr>
      <w:tr w:rsidR="006F6F10">
        <w:tc>
          <w:tcPr>
            <w:tcW w:w="1243" w:type="dxa"/>
          </w:tcPr>
          <w:p w:rsidR="006F6F10" w:rsidRDefault="006F6F10" w:rsidP="00D57071">
            <w:pPr>
              <w:jc w:val="both"/>
            </w:pPr>
            <w:r>
              <w:t>Computer</w:t>
            </w:r>
          </w:p>
        </w:tc>
        <w:tc>
          <w:tcPr>
            <w:tcW w:w="748" w:type="dxa"/>
          </w:tcPr>
          <w:p w:rsidR="006F6F10" w:rsidRDefault="006F6F10" w:rsidP="00A3123D">
            <w:pPr>
              <w:jc w:val="right"/>
            </w:pPr>
            <w:r>
              <w:t>1243</w:t>
            </w:r>
          </w:p>
        </w:tc>
        <w:tc>
          <w:tcPr>
            <w:tcW w:w="748" w:type="dxa"/>
          </w:tcPr>
          <w:p w:rsidR="006F6F10" w:rsidRDefault="006F6F10" w:rsidP="00A3123D">
            <w:pPr>
              <w:jc w:val="right"/>
            </w:pPr>
            <w:r>
              <w:t>432</w:t>
            </w:r>
          </w:p>
        </w:tc>
        <w:tc>
          <w:tcPr>
            <w:tcW w:w="748" w:type="dxa"/>
          </w:tcPr>
          <w:p w:rsidR="006F6F10" w:rsidRDefault="006F6F10" w:rsidP="00A3123D">
            <w:pPr>
              <w:jc w:val="right"/>
            </w:pPr>
            <w:r>
              <w:t>986</w:t>
            </w:r>
          </w:p>
        </w:tc>
        <w:tc>
          <w:tcPr>
            <w:tcW w:w="748" w:type="dxa"/>
          </w:tcPr>
          <w:p w:rsidR="006F6F10" w:rsidRDefault="006F6F10" w:rsidP="00A3123D">
            <w:pPr>
              <w:jc w:val="right"/>
            </w:pPr>
            <w:r>
              <w:t>1002</w:t>
            </w:r>
          </w:p>
        </w:tc>
        <w:tc>
          <w:tcPr>
            <w:tcW w:w="748" w:type="dxa"/>
          </w:tcPr>
          <w:p w:rsidR="006F6F10" w:rsidRDefault="006F6F10" w:rsidP="00A3123D">
            <w:pPr>
              <w:jc w:val="right"/>
            </w:pPr>
            <w:r>
              <w:t>784</w:t>
            </w:r>
          </w:p>
        </w:tc>
      </w:tr>
      <w:tr w:rsidR="006F6F10">
        <w:tc>
          <w:tcPr>
            <w:tcW w:w="1243" w:type="dxa"/>
          </w:tcPr>
          <w:p w:rsidR="006F6F10" w:rsidRDefault="006F6F10" w:rsidP="00D57071">
            <w:pPr>
              <w:jc w:val="both"/>
            </w:pPr>
            <w:r>
              <w:t>FISH</w:t>
            </w:r>
          </w:p>
        </w:tc>
        <w:tc>
          <w:tcPr>
            <w:tcW w:w="748" w:type="dxa"/>
          </w:tcPr>
          <w:p w:rsidR="006F6F10" w:rsidRDefault="006F6F10" w:rsidP="00A3123D">
            <w:pPr>
              <w:jc w:val="right"/>
            </w:pPr>
            <w:r>
              <w:t>14</w:t>
            </w:r>
          </w:p>
        </w:tc>
        <w:tc>
          <w:tcPr>
            <w:tcW w:w="748" w:type="dxa"/>
          </w:tcPr>
          <w:p w:rsidR="006F6F10" w:rsidRDefault="00A3123D" w:rsidP="00A3123D">
            <w:pPr>
              <w:jc w:val="right"/>
            </w:pPr>
            <w:r>
              <w:t>10</w:t>
            </w:r>
          </w:p>
        </w:tc>
        <w:tc>
          <w:tcPr>
            <w:tcW w:w="748" w:type="dxa"/>
          </w:tcPr>
          <w:p w:rsidR="006F6F10" w:rsidRDefault="00A3123D" w:rsidP="00A3123D">
            <w:pPr>
              <w:jc w:val="right"/>
            </w:pPr>
            <w:r>
              <w:t>45</w:t>
            </w:r>
          </w:p>
        </w:tc>
        <w:tc>
          <w:tcPr>
            <w:tcW w:w="748" w:type="dxa"/>
          </w:tcPr>
          <w:p w:rsidR="006F6F10" w:rsidRDefault="00A3123D" w:rsidP="00A3123D">
            <w:pPr>
              <w:jc w:val="right"/>
            </w:pPr>
            <w:r>
              <w:t>49</w:t>
            </w:r>
          </w:p>
        </w:tc>
        <w:tc>
          <w:tcPr>
            <w:tcW w:w="748" w:type="dxa"/>
          </w:tcPr>
          <w:p w:rsidR="006F6F10" w:rsidRDefault="00A3123D" w:rsidP="00A3123D">
            <w:pPr>
              <w:jc w:val="right"/>
            </w:pPr>
            <w:r>
              <w:t>61</w:t>
            </w:r>
          </w:p>
        </w:tc>
      </w:tr>
    </w:tbl>
    <w:p w:rsidR="00440C37" w:rsidRDefault="00440C37" w:rsidP="00D57071">
      <w:pPr>
        <w:jc w:val="both"/>
      </w:pPr>
    </w:p>
    <w:p w:rsidR="00EF62ED" w:rsidRDefault="00EF62ED" w:rsidP="00EF62ED">
      <w:pPr>
        <w:jc w:val="both"/>
      </w:pPr>
      <w:r>
        <w:t>The maturity score is calculated only for those terms for which there are enough data, which was determined to mean that the term has to occur at least 25 times, and it is calculated for each year using the following algorithm:</w:t>
      </w:r>
    </w:p>
    <w:p w:rsidR="00EF62ED" w:rsidRDefault="00EF62ED" w:rsidP="00EF62ED">
      <w:pPr>
        <w:jc w:val="both"/>
      </w:pPr>
    </w:p>
    <w:p w:rsidR="00EF62ED" w:rsidRPr="00F80F1E" w:rsidRDefault="00EF62ED" w:rsidP="00F80F1E">
      <w:pPr>
        <w:pStyle w:val="ListParagraph"/>
        <w:numPr>
          <w:ilvl w:val="0"/>
          <w:numId w:val="4"/>
        </w:numPr>
      </w:pPr>
      <w:r w:rsidRPr="00F80F1E">
        <w:t>Get the rough usage count for the term.</w:t>
      </w:r>
    </w:p>
    <w:p w:rsidR="00EF62ED" w:rsidRPr="00F80F1E" w:rsidRDefault="00EF62ED" w:rsidP="00F80F1E"/>
    <w:p w:rsidR="00EF62ED" w:rsidRPr="00F80F1E" w:rsidRDefault="00EF62ED" w:rsidP="00F80F1E">
      <w:pPr>
        <w:pStyle w:val="ListParagraph"/>
        <w:numPr>
          <w:ilvl w:val="0"/>
          <w:numId w:val="4"/>
        </w:numPr>
      </w:pPr>
      <w:r w:rsidRPr="00F80F1E">
        <w:t>Adjust the count relative to the size of the data set for the year. For example, if we have only two years, 2010 and 2011, and we have twice as much data for 2010, then the usage count for 2011 would be doubled.</w:t>
      </w:r>
    </w:p>
    <w:p w:rsidR="00EF62ED" w:rsidRPr="00F80F1E" w:rsidRDefault="00EF62ED" w:rsidP="00F80F1E"/>
    <w:p w:rsidR="00EF62ED" w:rsidRPr="00F80F1E" w:rsidRDefault="00EF62ED" w:rsidP="00F80F1E">
      <w:pPr>
        <w:pStyle w:val="ListParagraph"/>
        <w:numPr>
          <w:ilvl w:val="0"/>
          <w:numId w:val="4"/>
        </w:numPr>
      </w:pPr>
      <w:r w:rsidRPr="00F80F1E">
        <w:t>Let</w:t>
      </w:r>
      <w:r w:rsidR="00C22A59" w:rsidRPr="00F80F1E">
        <w:t>'s call this adjusted count c. We n</w:t>
      </w:r>
      <w:r w:rsidRPr="00F80F1E">
        <w:t>ow take log(c+1)/log(highest_count), where highest_count is the h</w:t>
      </w:r>
      <w:r w:rsidR="00C22A59" w:rsidRPr="00F80F1E">
        <w:t>ighest number of matches for any</w:t>
      </w:r>
      <w:r w:rsidRPr="00F80F1E">
        <w:t xml:space="preserve"> term</w:t>
      </w:r>
      <w:r w:rsidR="00C22A59" w:rsidRPr="00F80F1E">
        <w:t xml:space="preserve"> in the </w:t>
      </w:r>
      <w:r w:rsidRPr="00F80F1E">
        <w:t>year</w:t>
      </w:r>
      <w:r w:rsidR="00C22A59" w:rsidRPr="00F80F1E">
        <w:t xml:space="preserve"> (with the table above we would be using the count for computer)</w:t>
      </w:r>
      <w:r w:rsidRPr="00F80F1E">
        <w:t xml:space="preserve">. We take log(c+1) to make sure that a count of 0 leads to a 0 score instead of an error and </w:t>
      </w:r>
      <w:r w:rsidR="00C22A59" w:rsidRPr="00F80F1E">
        <w:t xml:space="preserve">we use </w:t>
      </w:r>
      <w:r w:rsidRPr="00F80F1E">
        <w:t>log(highest_score) to make sure our highest value is 1.</w:t>
      </w:r>
    </w:p>
    <w:p w:rsidR="00440C37" w:rsidRDefault="00440C37" w:rsidP="00D57071">
      <w:pPr>
        <w:jc w:val="both"/>
      </w:pPr>
    </w:p>
    <w:p w:rsidR="00F80F1E" w:rsidRDefault="00F80F1E" w:rsidP="00F80F1E">
      <w:pPr>
        <w:jc w:val="both"/>
      </w:pPr>
      <w:r>
        <w:t>Most maturity scores are low and most maturity scores are 0, reflecting that we found no evidence of the term being used. The graph below shows t</w:t>
      </w:r>
      <w:r w:rsidR="00087208">
        <w:t>he distribution of scores over 60</w:t>
      </w:r>
      <w:r>
        <w:t>0,000 US patents, which resulted in</w:t>
      </w:r>
      <w:r w:rsidR="00D57071">
        <w:t xml:space="preserve"> 353,577 terms with maturity scores</w:t>
      </w:r>
      <w:r>
        <w:t>.</w:t>
      </w:r>
    </w:p>
    <w:p w:rsidR="00D57071" w:rsidRDefault="00D57071" w:rsidP="00D57071"/>
    <w:p w:rsidR="00D57071" w:rsidRDefault="00D57071" w:rsidP="00D57071">
      <w:pPr>
        <w:ind w:left="360" w:hanging="360"/>
      </w:pPr>
      <w:r w:rsidRPr="00EA065C">
        <w:rPr>
          <w:noProof/>
        </w:rPr>
        <w:drawing>
          <wp:inline distT="0" distB="0" distL="0" distR="0">
            <wp:extent cx="5031463" cy="2743200"/>
            <wp:effectExtent l="0" t="0" r="23495"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3A32B6" w:rsidRDefault="003A32B6"/>
    <w:p w:rsidR="003A32B6" w:rsidRPr="00317DA5" w:rsidRDefault="003A32B6" w:rsidP="00F80F1E">
      <w:pPr>
        <w:spacing w:after="200" w:line="276" w:lineRule="auto"/>
      </w:pPr>
    </w:p>
    <w:sectPr w:rsidR="003A32B6" w:rsidRPr="00317DA5" w:rsidSect="00FB620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7815F04"/>
    <w:multiLevelType w:val="hybridMultilevel"/>
    <w:tmpl w:val="ADD69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484997"/>
    <w:multiLevelType w:val="hybridMultilevel"/>
    <w:tmpl w:val="CF34A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A748E1"/>
    <w:multiLevelType w:val="hybridMultilevel"/>
    <w:tmpl w:val="4452837C"/>
    <w:lvl w:ilvl="0" w:tplc="CCD005B0">
      <w:start w:val="1"/>
      <w:numFmt w:val="bullet"/>
      <w:lvlText w:val="•"/>
      <w:lvlJc w:val="left"/>
      <w:pPr>
        <w:tabs>
          <w:tab w:val="num" w:pos="720"/>
        </w:tabs>
        <w:ind w:left="720" w:hanging="360"/>
      </w:pPr>
      <w:rPr>
        <w:rFonts w:ascii="Arial" w:hAnsi="Arial" w:hint="default"/>
      </w:rPr>
    </w:lvl>
    <w:lvl w:ilvl="1" w:tplc="739C9944">
      <w:start w:val="-16392"/>
      <w:numFmt w:val="bullet"/>
      <w:lvlText w:val="–"/>
      <w:lvlJc w:val="left"/>
      <w:pPr>
        <w:tabs>
          <w:tab w:val="num" w:pos="1440"/>
        </w:tabs>
        <w:ind w:left="1440" w:hanging="360"/>
      </w:pPr>
      <w:rPr>
        <w:rFonts w:ascii="Arial" w:hAnsi="Arial" w:hint="default"/>
      </w:rPr>
    </w:lvl>
    <w:lvl w:ilvl="2" w:tplc="70A4CF9A" w:tentative="1">
      <w:start w:val="1"/>
      <w:numFmt w:val="bullet"/>
      <w:lvlText w:val="•"/>
      <w:lvlJc w:val="left"/>
      <w:pPr>
        <w:tabs>
          <w:tab w:val="num" w:pos="2160"/>
        </w:tabs>
        <w:ind w:left="2160" w:hanging="360"/>
      </w:pPr>
      <w:rPr>
        <w:rFonts w:ascii="Arial" w:hAnsi="Arial" w:hint="default"/>
      </w:rPr>
    </w:lvl>
    <w:lvl w:ilvl="3" w:tplc="D6CCF728" w:tentative="1">
      <w:start w:val="1"/>
      <w:numFmt w:val="bullet"/>
      <w:lvlText w:val="•"/>
      <w:lvlJc w:val="left"/>
      <w:pPr>
        <w:tabs>
          <w:tab w:val="num" w:pos="2880"/>
        </w:tabs>
        <w:ind w:left="2880" w:hanging="360"/>
      </w:pPr>
      <w:rPr>
        <w:rFonts w:ascii="Arial" w:hAnsi="Arial" w:hint="default"/>
      </w:rPr>
    </w:lvl>
    <w:lvl w:ilvl="4" w:tplc="5644DBAE" w:tentative="1">
      <w:start w:val="1"/>
      <w:numFmt w:val="bullet"/>
      <w:lvlText w:val="•"/>
      <w:lvlJc w:val="left"/>
      <w:pPr>
        <w:tabs>
          <w:tab w:val="num" w:pos="3600"/>
        </w:tabs>
        <w:ind w:left="3600" w:hanging="360"/>
      </w:pPr>
      <w:rPr>
        <w:rFonts w:ascii="Arial" w:hAnsi="Arial" w:hint="default"/>
      </w:rPr>
    </w:lvl>
    <w:lvl w:ilvl="5" w:tplc="235AB918" w:tentative="1">
      <w:start w:val="1"/>
      <w:numFmt w:val="bullet"/>
      <w:lvlText w:val="•"/>
      <w:lvlJc w:val="left"/>
      <w:pPr>
        <w:tabs>
          <w:tab w:val="num" w:pos="4320"/>
        </w:tabs>
        <w:ind w:left="4320" w:hanging="360"/>
      </w:pPr>
      <w:rPr>
        <w:rFonts w:ascii="Arial" w:hAnsi="Arial" w:hint="default"/>
      </w:rPr>
    </w:lvl>
    <w:lvl w:ilvl="6" w:tplc="3EDCD52E" w:tentative="1">
      <w:start w:val="1"/>
      <w:numFmt w:val="bullet"/>
      <w:lvlText w:val="•"/>
      <w:lvlJc w:val="left"/>
      <w:pPr>
        <w:tabs>
          <w:tab w:val="num" w:pos="5040"/>
        </w:tabs>
        <w:ind w:left="5040" w:hanging="360"/>
      </w:pPr>
      <w:rPr>
        <w:rFonts w:ascii="Arial" w:hAnsi="Arial" w:hint="default"/>
      </w:rPr>
    </w:lvl>
    <w:lvl w:ilvl="7" w:tplc="D3AC046C" w:tentative="1">
      <w:start w:val="1"/>
      <w:numFmt w:val="bullet"/>
      <w:lvlText w:val="•"/>
      <w:lvlJc w:val="left"/>
      <w:pPr>
        <w:tabs>
          <w:tab w:val="num" w:pos="5760"/>
        </w:tabs>
        <w:ind w:left="5760" w:hanging="360"/>
      </w:pPr>
      <w:rPr>
        <w:rFonts w:ascii="Arial" w:hAnsi="Arial" w:hint="default"/>
      </w:rPr>
    </w:lvl>
    <w:lvl w:ilvl="8" w:tplc="EDC05D16" w:tentative="1">
      <w:start w:val="1"/>
      <w:numFmt w:val="bullet"/>
      <w:lvlText w:val="•"/>
      <w:lvlJc w:val="left"/>
      <w:pPr>
        <w:tabs>
          <w:tab w:val="num" w:pos="6480"/>
        </w:tabs>
        <w:ind w:left="6480" w:hanging="360"/>
      </w:pPr>
      <w:rPr>
        <w:rFonts w:ascii="Arial" w:hAnsi="Arial" w:hint="default"/>
      </w:rPr>
    </w:lvl>
  </w:abstractNum>
  <w:abstractNum w:abstractNumId="3">
    <w:nsid w:val="7F9C5732"/>
    <w:multiLevelType w:val="hybridMultilevel"/>
    <w:tmpl w:val="A48C2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D57071"/>
    <w:rsid w:val="00087208"/>
    <w:rsid w:val="002F028F"/>
    <w:rsid w:val="003772EB"/>
    <w:rsid w:val="003A32B6"/>
    <w:rsid w:val="00440C37"/>
    <w:rsid w:val="00443FE8"/>
    <w:rsid w:val="006F6F10"/>
    <w:rsid w:val="00743B9F"/>
    <w:rsid w:val="007662EC"/>
    <w:rsid w:val="00860E58"/>
    <w:rsid w:val="00A3123D"/>
    <w:rsid w:val="00A33E34"/>
    <w:rsid w:val="00C22A59"/>
    <w:rsid w:val="00CB0766"/>
    <w:rsid w:val="00CE6B72"/>
    <w:rsid w:val="00D57071"/>
    <w:rsid w:val="00E64B04"/>
    <w:rsid w:val="00EF62ED"/>
    <w:rsid w:val="00F12AA4"/>
    <w:rsid w:val="00F80F1E"/>
    <w:rsid w:val="00FB620D"/>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57071"/>
    <w:rPr>
      <w:rFonts w:eastAsiaTheme="minorEastAsia"/>
    </w:rPr>
  </w:style>
  <w:style w:type="paragraph" w:styleId="Heading2">
    <w:name w:val="heading 2"/>
    <w:basedOn w:val="Normal"/>
    <w:next w:val="Normal"/>
    <w:link w:val="Heading2Char"/>
    <w:uiPriority w:val="9"/>
    <w:unhideWhenUsed/>
    <w:qFormat/>
    <w:rsid w:val="00D5707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D5707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57071"/>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743B9F"/>
    <w:pPr>
      <w:spacing w:after="120" w:line="276" w:lineRule="auto"/>
    </w:pPr>
    <w:rPr>
      <w:rFonts w:ascii="Calibri" w:eastAsia="Calibri" w:hAnsi="Calibri" w:cs="Times New Roman"/>
      <w:sz w:val="22"/>
      <w:szCs w:val="22"/>
    </w:rPr>
  </w:style>
  <w:style w:type="character" w:customStyle="1" w:styleId="BodyTextChar">
    <w:name w:val="Body Text Char"/>
    <w:basedOn w:val="DefaultParagraphFont"/>
    <w:link w:val="BodyText"/>
    <w:uiPriority w:val="99"/>
    <w:rsid w:val="00743B9F"/>
    <w:rPr>
      <w:rFonts w:ascii="Calibri" w:eastAsia="Calibri" w:hAnsi="Calibri" w:cs="Times New Roman"/>
      <w:sz w:val="22"/>
      <w:szCs w:val="22"/>
    </w:rPr>
  </w:style>
  <w:style w:type="paragraph" w:styleId="NoSpacing">
    <w:name w:val="No Spacing"/>
    <w:uiPriority w:val="99"/>
    <w:qFormat/>
    <w:rsid w:val="00CB0766"/>
    <w:rPr>
      <w:rFonts w:ascii="Arial" w:eastAsia="Calibri" w:hAnsi="Arial" w:cs="Arial"/>
      <w:szCs w:val="22"/>
    </w:rPr>
  </w:style>
  <w:style w:type="character" w:customStyle="1" w:styleId="BodyTextSPACEBEFOREChar">
    <w:name w:val="Body Text SPACE BEFORE Char"/>
    <w:link w:val="BodyTextSPACEBEFORE"/>
    <w:uiPriority w:val="99"/>
    <w:locked/>
    <w:rsid w:val="00CB0766"/>
    <w:rPr>
      <w:rFonts w:ascii="Times New Roman" w:hAnsi="Times New Roman"/>
      <w:sz w:val="22"/>
    </w:rPr>
  </w:style>
  <w:style w:type="paragraph" w:customStyle="1" w:styleId="BodyTextSPACEBEFORE">
    <w:name w:val="Body Text SPACE BEFORE"/>
    <w:basedOn w:val="BodyText"/>
    <w:next w:val="BodyText"/>
    <w:link w:val="BodyTextSPACEBEFOREChar"/>
    <w:uiPriority w:val="99"/>
    <w:rsid w:val="00CB0766"/>
    <w:pPr>
      <w:spacing w:before="120" w:line="240" w:lineRule="auto"/>
      <w:jc w:val="both"/>
    </w:pPr>
    <w:rPr>
      <w:rFonts w:ascii="Times New Roman" w:eastAsiaTheme="minorHAnsi" w:hAnsi="Times New Roman" w:cstheme="minorBidi"/>
      <w:szCs w:val="24"/>
    </w:rPr>
  </w:style>
  <w:style w:type="paragraph" w:styleId="ListParagraph">
    <w:name w:val="List Paragraph"/>
    <w:basedOn w:val="Normal"/>
    <w:rsid w:val="00EF62ED"/>
    <w:pPr>
      <w:ind w:left="720"/>
      <w:contextualSpacing/>
    </w:pPr>
  </w:style>
</w:styles>
</file>

<file path=word/webSettings.xml><?xml version="1.0" encoding="utf-8"?>
<w:webSettings xmlns:r="http://schemas.openxmlformats.org/officeDocument/2006/relationships" xmlns:w="http://schemas.openxmlformats.org/wordprocessingml/2006/main">
  <w:divs>
    <w:div w:id="1782996541">
      <w:bodyDiv w:val="1"/>
      <w:marLeft w:val="0"/>
      <w:marRight w:val="0"/>
      <w:marTop w:val="0"/>
      <w:marBottom w:val="0"/>
      <w:divBdr>
        <w:top w:val="none" w:sz="0" w:space="0" w:color="auto"/>
        <w:left w:val="none" w:sz="0" w:space="0" w:color="auto"/>
        <w:bottom w:val="none" w:sz="0" w:space="0" w:color="auto"/>
        <w:right w:val="none" w:sz="0" w:space="0" w:color="auto"/>
      </w:divBdr>
    </w:div>
    <w:div w:id="18405424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8"/>
  <c:chart>
    <c:plotArea>
      <c:layout>
        <c:manualLayout>
          <c:layoutTarget val="inner"/>
          <c:xMode val="edge"/>
          <c:yMode val="edge"/>
          <c:x val="0.18313233375173"/>
          <c:y val="0.0388885243511228"/>
          <c:w val="0.775223175361172"/>
          <c:h val="0.821971649484536"/>
        </c:manualLayout>
      </c:layout>
      <c:barChart>
        <c:barDir val="col"/>
        <c:grouping val="stacked"/>
        <c:ser>
          <c:idx val="0"/>
          <c:order val="0"/>
          <c:tx>
            <c:strRef>
              <c:f>Sheet1!$B$1</c:f>
              <c:strCache>
                <c:ptCount val="1"/>
                <c:pt idx="0">
                  <c:v>Series 1</c:v>
                </c:pt>
              </c:strCache>
            </c:strRef>
          </c:tx>
          <c:cat>
            <c:numRef>
              <c:f>Sheet1!$A$2:$A$12</c:f>
              <c:numCache>
                <c:formatCode>General</c:formatCode>
                <c:ptCount val="11"/>
                <c:pt idx="0">
                  <c:v>0.0</c:v>
                </c:pt>
                <c:pt idx="1">
                  <c:v>0.1</c:v>
                </c:pt>
                <c:pt idx="2">
                  <c:v>0.2</c:v>
                </c:pt>
                <c:pt idx="3">
                  <c:v>0.3</c:v>
                </c:pt>
                <c:pt idx="4">
                  <c:v>0.4</c:v>
                </c:pt>
                <c:pt idx="5">
                  <c:v>0.5</c:v>
                </c:pt>
                <c:pt idx="6">
                  <c:v>0.6</c:v>
                </c:pt>
                <c:pt idx="7">
                  <c:v>0.7</c:v>
                </c:pt>
                <c:pt idx="8">
                  <c:v>0.8</c:v>
                </c:pt>
                <c:pt idx="9">
                  <c:v>0.9</c:v>
                </c:pt>
                <c:pt idx="10">
                  <c:v>1.0</c:v>
                </c:pt>
              </c:numCache>
            </c:numRef>
          </c:cat>
          <c:val>
            <c:numRef>
              <c:f>Sheet1!$B$2:$B$12</c:f>
              <c:numCache>
                <c:formatCode>General</c:formatCode>
                <c:ptCount val="11"/>
                <c:pt idx="0">
                  <c:v>1.984845E6</c:v>
                </c:pt>
                <c:pt idx="1">
                  <c:v>818931.0</c:v>
                </c:pt>
                <c:pt idx="2">
                  <c:v>692693.0</c:v>
                </c:pt>
                <c:pt idx="3">
                  <c:v>261427.0</c:v>
                </c:pt>
                <c:pt idx="4">
                  <c:v>86576.0</c:v>
                </c:pt>
                <c:pt idx="5">
                  <c:v>28451.0</c:v>
                </c:pt>
                <c:pt idx="6">
                  <c:v>10079.0</c:v>
                </c:pt>
                <c:pt idx="7">
                  <c:v>4006.0</c:v>
                </c:pt>
                <c:pt idx="8">
                  <c:v>1362.0</c:v>
                </c:pt>
                <c:pt idx="9">
                  <c:v>421.0</c:v>
                </c:pt>
                <c:pt idx="10">
                  <c:v>118.0</c:v>
                </c:pt>
              </c:numCache>
            </c:numRef>
          </c:val>
        </c:ser>
        <c:ser>
          <c:idx val="1"/>
          <c:order val="1"/>
          <c:tx>
            <c:strRef>
              <c:f>Sheet1!$C$1</c:f>
              <c:strCache>
                <c:ptCount val="1"/>
                <c:pt idx="0">
                  <c:v>Column1</c:v>
                </c:pt>
              </c:strCache>
            </c:strRef>
          </c:tx>
          <c:cat>
            <c:numRef>
              <c:f>Sheet1!$A$2:$A$12</c:f>
              <c:numCache>
                <c:formatCode>General</c:formatCode>
                <c:ptCount val="11"/>
                <c:pt idx="0">
                  <c:v>0.0</c:v>
                </c:pt>
                <c:pt idx="1">
                  <c:v>0.1</c:v>
                </c:pt>
                <c:pt idx="2">
                  <c:v>0.2</c:v>
                </c:pt>
                <c:pt idx="3">
                  <c:v>0.3</c:v>
                </c:pt>
                <c:pt idx="4">
                  <c:v>0.4</c:v>
                </c:pt>
                <c:pt idx="5">
                  <c:v>0.5</c:v>
                </c:pt>
                <c:pt idx="6">
                  <c:v>0.6</c:v>
                </c:pt>
                <c:pt idx="7">
                  <c:v>0.7</c:v>
                </c:pt>
                <c:pt idx="8">
                  <c:v>0.8</c:v>
                </c:pt>
                <c:pt idx="9">
                  <c:v>0.9</c:v>
                </c:pt>
                <c:pt idx="10">
                  <c:v>1.0</c:v>
                </c:pt>
              </c:numCache>
            </c:numRef>
          </c:cat>
          <c:val>
            <c:numRef>
              <c:f>Sheet1!$C$2:$C$12</c:f>
              <c:numCache>
                <c:formatCode>General</c:formatCode>
                <c:ptCount val="11"/>
                <c:pt idx="0">
                  <c:v>0.0</c:v>
                </c:pt>
                <c:pt idx="1">
                  <c:v>0.0</c:v>
                </c:pt>
                <c:pt idx="2">
                  <c:v>0.0</c:v>
                </c:pt>
                <c:pt idx="3">
                  <c:v>0.0</c:v>
                </c:pt>
                <c:pt idx="4">
                  <c:v>0.0</c:v>
                </c:pt>
                <c:pt idx="5">
                  <c:v>0.0</c:v>
                </c:pt>
                <c:pt idx="6">
                  <c:v>0.0</c:v>
                </c:pt>
                <c:pt idx="7">
                  <c:v>0.0</c:v>
                </c:pt>
                <c:pt idx="8">
                  <c:v>0.0</c:v>
                </c:pt>
                <c:pt idx="9">
                  <c:v>0.0</c:v>
                </c:pt>
                <c:pt idx="10">
                  <c:v>0.0</c:v>
                </c:pt>
              </c:numCache>
            </c:numRef>
          </c:val>
        </c:ser>
        <c:ser>
          <c:idx val="2"/>
          <c:order val="2"/>
          <c:tx>
            <c:strRef>
              <c:f>Sheet1!$D$1</c:f>
              <c:strCache>
                <c:ptCount val="1"/>
                <c:pt idx="0">
                  <c:v>Column2</c:v>
                </c:pt>
              </c:strCache>
            </c:strRef>
          </c:tx>
          <c:cat>
            <c:numRef>
              <c:f>Sheet1!$A$2:$A$12</c:f>
              <c:numCache>
                <c:formatCode>General</c:formatCode>
                <c:ptCount val="11"/>
                <c:pt idx="0">
                  <c:v>0.0</c:v>
                </c:pt>
                <c:pt idx="1">
                  <c:v>0.1</c:v>
                </c:pt>
                <c:pt idx="2">
                  <c:v>0.2</c:v>
                </c:pt>
                <c:pt idx="3">
                  <c:v>0.3</c:v>
                </c:pt>
                <c:pt idx="4">
                  <c:v>0.4</c:v>
                </c:pt>
                <c:pt idx="5">
                  <c:v>0.5</c:v>
                </c:pt>
                <c:pt idx="6">
                  <c:v>0.6</c:v>
                </c:pt>
                <c:pt idx="7">
                  <c:v>0.7</c:v>
                </c:pt>
                <c:pt idx="8">
                  <c:v>0.8</c:v>
                </c:pt>
                <c:pt idx="9">
                  <c:v>0.9</c:v>
                </c:pt>
                <c:pt idx="10">
                  <c:v>1.0</c:v>
                </c:pt>
              </c:numCache>
            </c:numRef>
          </c:cat>
          <c:val>
            <c:numRef>
              <c:f>Sheet1!$D$2:$D$12</c:f>
              <c:numCache>
                <c:formatCode>General</c:formatCode>
                <c:ptCount val="11"/>
                <c:pt idx="0">
                  <c:v>0.0</c:v>
                </c:pt>
                <c:pt idx="1">
                  <c:v>0.0</c:v>
                </c:pt>
                <c:pt idx="2">
                  <c:v>0.0</c:v>
                </c:pt>
                <c:pt idx="3">
                  <c:v>0.0</c:v>
                </c:pt>
                <c:pt idx="4">
                  <c:v>0.0</c:v>
                </c:pt>
                <c:pt idx="5">
                  <c:v>0.0</c:v>
                </c:pt>
                <c:pt idx="6">
                  <c:v>0.0</c:v>
                </c:pt>
                <c:pt idx="7">
                  <c:v>0.0</c:v>
                </c:pt>
                <c:pt idx="8">
                  <c:v>0.0</c:v>
                </c:pt>
                <c:pt idx="9">
                  <c:v>0.0</c:v>
                </c:pt>
                <c:pt idx="10">
                  <c:v>0.0</c:v>
                </c:pt>
              </c:numCache>
            </c:numRef>
          </c:val>
        </c:ser>
        <c:overlap val="100"/>
        <c:axId val="590409528"/>
        <c:axId val="83907528"/>
      </c:barChart>
      <c:catAx>
        <c:axId val="590409528"/>
        <c:scaling>
          <c:orientation val="minMax"/>
        </c:scaling>
        <c:axPos val="b"/>
        <c:numFmt formatCode="General" sourceLinked="1"/>
        <c:tickLblPos val="nextTo"/>
        <c:txPr>
          <a:bodyPr/>
          <a:lstStyle/>
          <a:p>
            <a:pPr>
              <a:defRPr sz="1400"/>
            </a:pPr>
            <a:endParaRPr lang="en-US"/>
          </a:p>
        </c:txPr>
        <c:crossAx val="83907528"/>
        <c:crosses val="autoZero"/>
        <c:auto val="1"/>
        <c:lblAlgn val="ctr"/>
        <c:lblOffset val="100"/>
      </c:catAx>
      <c:valAx>
        <c:axId val="83907528"/>
        <c:scaling>
          <c:orientation val="minMax"/>
        </c:scaling>
        <c:axPos val="l"/>
        <c:majorGridlines/>
        <c:numFmt formatCode="General" sourceLinked="1"/>
        <c:tickLblPos val="nextTo"/>
        <c:txPr>
          <a:bodyPr/>
          <a:lstStyle/>
          <a:p>
            <a:pPr>
              <a:defRPr sz="1400"/>
            </a:pPr>
            <a:endParaRPr lang="en-US"/>
          </a:p>
        </c:txPr>
        <c:crossAx val="590409528"/>
        <c:crosses val="autoZero"/>
        <c:crossBetween val="between"/>
      </c:valAx>
    </c:plotArea>
    <c:plotVisOnly val="1"/>
    <c:dispBlanksAs val="gap"/>
  </c:chart>
  <c:txPr>
    <a:bodyPr/>
    <a:lstStyle/>
    <a:p>
      <a:pPr>
        <a:defRPr sz="1800"/>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441</Words>
  <Characters>2517</Characters>
  <Application>Microsoft Word 12.1.0</Application>
  <DocSecurity>0</DocSecurity>
  <Lines>20</Lines>
  <Paragraphs>5</Paragraphs>
  <ScaleCrop>false</ScaleCrop>
  <Company>Brandeis University</Company>
  <LinksUpToDate>false</LinksUpToDate>
  <CharactersWithSpaces>3091</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Verhagen</dc:creator>
  <cp:keywords/>
  <cp:lastModifiedBy>Marc Verhagen</cp:lastModifiedBy>
  <cp:revision>13</cp:revision>
  <dcterms:created xsi:type="dcterms:W3CDTF">2018-01-12T17:05:00Z</dcterms:created>
  <dcterms:modified xsi:type="dcterms:W3CDTF">2018-01-12T20:01:00Z</dcterms:modified>
</cp:coreProperties>
</file>