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Captura de pedidos com CDC no PostgreSQL</w:t>
      </w:r>
    </w:p>
    <w:p>
      <w:r>
        <w:rPr>
          <w:b/>
        </w:rPr>
        <w:t>ADR-001  |  Status Aceito  |  Data 21/10/2026</w:t>
      </w:r>
    </w:p>
    <w:p>
      <w:r>
        <w:t>Autores Daniel e Fernanda</w:t>
      </w:r>
    </w:p>
    <w:p>
      <w:r>
        <w:t>Adotamos o Debezium para publicar no Kafka as alterações confirmadas no PostgreSQL. O banco é a origem dos pedidos; a captura pelo log transacional atende ao RF01 sem exigir uma publicação adicional na API.</w:t>
      </w:r>
    </w:p>
    <w:p>
      <w:pPr>
        <w:pStyle w:val="Heading1"/>
      </w:pPr>
      <w:r>
        <w:t>Contexto</w:t>
      </w:r>
    </w:p>
    <w:p>
      <w:r>
        <w:t>O estudo de caso exige que um novo pedido chegue ao Kafka em poucos segundos. Publicar no banco e no Kafka em duas operações independentes criaria uma janela de inconsistência se apenas uma delas concluísse. A captura precisa também permitir retomada após interrupções.</w:t>
      </w:r>
    </w:p>
    <w:p>
      <w:r>
        <w:t>No projeto, o checkout grava em shopvibe.orders. Clientes e produtos completam o contexto do pedido. Pagamentos, antifraude e logística reais são componentes da arquitetura futura; não são pré-requisitos para demonstrar esse caminho.</w:t>
      </w:r>
    </w:p>
    <w:p>
      <w:pPr>
        <w:pStyle w:val="Heading1"/>
      </w:pPr>
      <w:r>
        <w:t>Decisão</w:t>
      </w:r>
    </w:p>
    <w:p>
      <w:r>
        <w:t>Usar o conector PostgreSQL do Debezium no Kafka Connect, com wal_level=logical, plugin pgoutput e slot debezium_shopvibe. Capturar somente shopvibe.customers, shopvibe.products e shopvibe.orders; excluir as tabelas de metadados do Airflow.</w:t>
      </w:r>
    </w:p>
    <w:p>
      <w:r>
        <w:t>O fluxo implementado é checkout → commit no PostgreSQL → Debezium → Kafka. O tópico de pedidos é shopvibe.shopvibe.orders. A resposta de sucesso da API confirma a gravação no banco; a chegada ao Kafka e à Bronze é assíncrona e deve ser verificada separadamente.</w:t>
      </w:r>
    </w:p>
    <w:p>
      <w:pPr>
        <w:pStyle w:val="Heading1"/>
      </w:pPr>
      <w:r>
        <w:t>Alternativas consideradas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Alternativa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Vantagens</w:t>
            </w:r>
          </w:p>
        </w:tc>
        <w:tc>
          <w:tcPr>
            <w:tcW w:type="dxa" w:w="4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Desvantagens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CDC com Debezium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Captura inserções, alterações e exclusões sem dupla publicação pela API.</w:t>
            </w:r>
          </w:p>
        </w:tc>
        <w:tc>
          <w:tcPr>
            <w:tcW w:type="dxa" w:w="4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Exige replicação lógica, permissões e acompanhamento do WAL.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Outbox transacional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Registra a intenção do evento na mesma transação; favorece eventos de negócio.</w:t>
            </w:r>
          </w:p>
        </w:tc>
        <w:tc>
          <w:tcPr>
            <w:tcW w:type="dxa" w:w="4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Acrescenta tabela, publicador e tratamento do ciclo de vida dos eventos.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Consulta periódica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Implementação inicial simples, baseada em SQL.</w:t>
            </w:r>
          </w:p>
        </w:tc>
        <w:tc>
          <w:tcPr>
            <w:tcW w:type="dxa" w:w="4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Depende de checkpoints e consultas recorrentes; alterações e exclusões exigem controle adicional.</w:t>
            </w:r>
          </w:p>
        </w:tc>
      </w:tr>
    </w:tbl>
    <w:p>
      <w:r>
        <w:br w:type="page"/>
      </w:r>
    </w:p>
    <w:p>
      <w:pPr>
        <w:pStyle w:val="Heading1"/>
      </w:pPr>
      <w:r>
        <w:t>Consequências</w:t>
      </w:r>
    </w:p>
    <w:p>
      <w:r>
        <w:t>Ganhamos desacoplamento entre checkout e consumidores, rastreabilidade da origem e captura contínua. Em contrapartida, os eventos refletem o modelo físico do banco; mudanças de schema exigem compatibilidade nos consumidores.</w:t>
      </w:r>
    </w:p>
    <w:p>
      <w:r>
        <w:t>Se o conector parar, o slot pode reter WAL e ocupar o disco do PostgreSQL. A operação deve acompanhar atraso da captura, espaço livre e estado das tarefas. Apagar slots ou offsets para resolver falhas pode comprometer a retomada.</w:t>
      </w:r>
    </w:p>
    <w:p>
      <w:pPr>
        <w:pStyle w:val="Heading1"/>
      </w:pPr>
      <w:r>
        <w:t>Durabilidade e limites atuais</w:t>
      </w:r>
    </w:p>
    <w:p>
      <w:r>
        <w:t>A retomada depende do WAL ainda disponível, do slot e dos offsets persistidos. No laboratório, volumes Docker preservam dados entre reinícios, mas uma única instância não protege contra perda do disco ou do computador.</w:t>
      </w:r>
    </w:p>
    <w:p>
      <w:r>
        <w:t>Para produção, propomos backup com restauração testada e uma estratégia de replicação e continuidade do PostgreSQL que preserve a captura lógica. Essas medidas não estão implementadas nem foram demonstradas por teste de falha.</w:t>
      </w:r>
    </w:p>
    <w:p>
      <w:pPr>
        <w:pStyle w:val="Heading1"/>
      </w:pPr>
      <w:r>
        <w:t>Escalabilidade</w:t>
      </w:r>
    </w:p>
    <w:p>
      <w:r>
        <w:t>O cenário de Black Friday prevê até 20 vezes a demanda, cerca de 300 mil pedidos por dia. O conector PostgreSQL usa uma tarefa; aumentar tasks.max não paraleliza essa leitura. O dimensionamento deve medir WAL, atraso e taxa de eventos, que pode superar a taxa de pedidos. O paralelismo após a captura é tratado no ADR-002. Não realizamos teste de carga.</w:t>
      </w:r>
    </w:p>
    <w:p>
      <w:pPr>
        <w:pStyle w:val="Heading1"/>
      </w:pPr>
      <w:r>
        <w:t>Custos e licenciamento</w:t>
      </w:r>
    </w:p>
    <w:p>
      <w:r>
        <w:t>PostgreSQL e Debezium são ferramentas de código aberto. O custo operacional inclui disco para WAL, processamento e monitoramento. O bootstrap configura o schema e registra o conector; não há uma etapa manual de publicação de cada pedido.</w:t>
      </w:r>
    </w:p>
    <w:p>
      <w:pPr>
        <w:pStyle w:val="Heading1"/>
      </w:pPr>
      <w:r>
        <w:t>Implementação e evidências</w:t>
      </w:r>
    </w:p>
    <w:p>
      <w:r>
        <w:t>Implementação: api/main.py, conectores/connector-shopvibe-cdc.json e docker-compose.yml. A validação local registrada em 21/10/2026 confirmou o percurso de checkout e CDC. Este registro documenta essa evidência; não constitui uma nova medição de latência ou disponibilidade.</w:t>
      </w:r>
    </w:p>
    <w:p>
      <w:pPr>
        <w:pStyle w:val="Heading1"/>
      </w:pPr>
      <w:r>
        <w:t>Referências</w:t>
      </w:r>
    </w:p>
    <w:p>
      <w:pPr>
        <w:spacing w:after="40"/>
      </w:pPr>
      <w:hyperlink r:id="rId11">
        <w:r>
          <w:rPr>
            <w:color w:val="174A70"/>
          </w:rPr>
          <w:t>Debezium e PostgreSQL</w:t>
        </w:r>
      </w:hyperlink>
    </w:p>
    <w:p>
      <w:pPr>
        <w:spacing w:after="40"/>
      </w:pPr>
      <w:hyperlink r:id="rId12">
        <w:r>
          <w:rPr>
            <w:color w:val="174A70"/>
          </w:rPr>
          <w:t>Replicação lógica no PostgreSQL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ADR-001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SHOPVIBE   •   REGISTROS DE DECISÃO ARQUITETURAL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bezium.io/documentation/reference/stable/connectors/postgresql.html" TargetMode="External"/><Relationship Id="rId12" Type="http://schemas.openxmlformats.org/officeDocument/2006/relationships/hyperlink" Target="https://www.postgresql.org/docs/current/logicaldecoding-explan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Captura de pedidos com CDC no PostgreSQL</dc:title>
  <dc:subject>ShopVibe — decisão arquitetural ADR-001</dc:subject>
  <dc:creator>Daniel e Fernanda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