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Histórico bruto e camadas de dados no MinIO</w:t>
      </w:r>
    </w:p>
    <w:p>
      <w:r>
        <w:rPr>
          <w:b/>
        </w:rPr>
        <w:t>ADR-003  |  Status Aceito  |  Data 21/10/2026</w:t>
      </w:r>
    </w:p>
    <w:p>
      <w:r>
        <w:t>Autores Daniel e Fernanda</w:t>
      </w:r>
    </w:p>
    <w:p>
      <w:r>
        <w:t>Adotamos o MinIO como armazenamento de objetos para preservar a Bronze e separar os dados derivados em Silver e Gold. A escolha atende ao histórico para reprocessamento do RF02; a licença do conector S3 atual permanece uma pendência de adequação ao enunciado.</w:t>
      </w:r>
    </w:p>
    <w:p>
      <w:pPr>
        <w:pStyle w:val="Heading1"/>
      </w:pPr>
      <w:r>
        <w:t>Contexto</w:t>
      </w:r>
    </w:p>
    <w:p>
      <w:r>
        <w:t>O histórico precisa sobreviver aos processamentos e permitir reconstruir camadas analíticas. Guardar apenas a situação atual de um pedido perderia a sequência das alterações. Usar o banco transacional como arquivo permanente também aumentaria o acoplamento com as consultas operacionais.</w:t>
      </w:r>
    </w:p>
    <w:p>
      <w:r>
        <w:t>A demonstração ocorre localmente com Docker. Bronze persistida é obrigatória; Silver e Gold são extensões já implementadas em lote. Pagamento real, painéis e consumo analítico em streaming continuam como evolução da arquitetura.</w:t>
      </w:r>
    </w:p>
    <w:p>
      <w:pPr>
        <w:pStyle w:val="Heading1"/>
      </w:pPr>
      <w:r>
        <w:t>Decisão</w:t>
      </w:r>
    </w:p>
    <w:p>
      <w:r>
        <w:t>Usar buckets bronze, silver e gold no MinIO, com versionamento, volume persistente e sem regra de expiração configurada. Na Bronze, manter o envelope JSON do CDC e acrescentar tópico, partição, offset e timestamp Kafka para rastreamento.</w:t>
      </w:r>
    </w:p>
    <w:p>
      <w:r>
        <w:t>O caminho atual Kafka → Bronze usa o conector Confluent S3 10.6.11, com flush.size=1 e errors.tolerance=none. Eventos de exclusão do CDC são preservados; apenas os registros Kafka com valor nulo, chamados tombstones, são ignorados.</w:t>
      </w:r>
    </w:p>
    <w:p>
      <w:r>
        <w:t>Silver e Gold usam Parquet e snapshots com identificadores e checksums. A referência LATEST só avança após validação; a Gold referencia o snapshot Silver utilizado. Dados brutos permanecem disponíveis para reconstrução.</w:t>
      </w:r>
    </w:p>
    <w:p>
      <w:pPr>
        <w:pStyle w:val="Heading1"/>
      </w:pPr>
      <w:r>
        <w:t>Alternativas consideradas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Vantagens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EEE"/>
          </w:tcPr>
          <w:p>
            <w:pPr>
              <w:spacing w:after="20" w:line="240" w:lineRule="auto"/>
            </w:pPr>
            <w:r>
              <w:rPr>
                <w:b/>
                <w:sz w:val="20"/>
              </w:rPr>
              <w:t>Desvantagens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MinIO com API S3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Separa armazenamento e processamento; oferece versionamento e integração S3.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Requer operação, política de backup e mecanismo externo de consulta.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Histórico em JSONB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Permite consultas SQL e aproveita o PostgreSQL existente.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Retenção e consultas disputam disco e processamento com o banco transacional.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Arquivos em volume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Solução inicial simples, com poucas dependências.</w:t>
            </w:r>
          </w:p>
        </w:tc>
        <w:tc>
          <w:tcPr>
            <w:tcW w:type="dxa" w:w="4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API, versionamento, acesso concorrente e organização precisam de controles adicionais.</w:t>
            </w:r>
          </w:p>
        </w:tc>
      </w:tr>
    </w:tbl>
    <w:p>
      <w:r>
        <w:br w:type="page"/>
      </w:r>
    </w:p>
    <w:p>
      <w:pPr>
        <w:pStyle w:val="Heading1"/>
      </w:pPr>
      <w:r>
        <w:t>Consequências</w:t>
      </w:r>
    </w:p>
    <w:p>
      <w:r>
        <w:t>Ganhamos histórico auditável e reconstrução das camadas derivadas. Há custo de armazenamento para versões, eventos e snapshots. Um objeto por evento facilita a demonstração, mas gera muitos arquivos pequenos; produção precisará avaliar escrita em lotes e rotação por tempo ou tamanho.</w:t>
      </w:r>
    </w:p>
    <w:p>
      <w:r>
        <w:t>A entrega pode envolver repetição de leitura. A identidade tópico, partição e offset permite conciliar eventos e deduplicar na Silver. A Bronze deve conservar os dados recebidos, inclusive alterações e exclusões, sem ser substituída pelas tabelas analíticas.</w:t>
      </w:r>
    </w:p>
    <w:p>
      <w:pPr>
        <w:pStyle w:val="Heading1"/>
      </w:pPr>
      <w:r>
        <w:t>Durabilidade e limites atuais</w:t>
      </w:r>
    </w:p>
    <w:p>
      <w:r>
        <w:t>Kafka retém eventos durante uma indisponibilidade do MinIO; a retomada depende dos eventos e offsets preservados. O versionamento ajuda a recuperar sobrescritas, mas não substitui backup externo nem protege sozinho contra perda do host.</w:t>
      </w:r>
    </w:p>
    <w:p>
      <w:r>
        <w:t>Para produção, propomos armazenamento distribuído ou replicação, cópia fora do host, restauração testada e monitoramento do atraso e do espaço livre. Não executar docker compose down -v nem apagar buckets para reiniciar uma demonstração que deve preservar o histórico.</w:t>
      </w:r>
    </w:p>
    <w:p>
      <w:pPr>
        <w:pStyle w:val="Heading1"/>
      </w:pPr>
      <w:r>
        <w:t>Escalabilidade</w:t>
      </w:r>
    </w:p>
    <w:p>
      <w:r>
        <w:t>O aumento para 20 vezes a demanda exige medir bytes por evento, quantidade de objetos e tempo de escrita. A expansão deve considerar capacidade do armazenamento, paralelismo por partição e agregação de objetos pequenos. Não realizamos teste de carga; a configuração local não comprova capacidade para 300 mil pedidos por dia.</w:t>
      </w:r>
    </w:p>
    <w:p>
      <w:pPr>
        <w:pStyle w:val="Heading1"/>
      </w:pPr>
      <w:r>
        <w:t>Custos e licenciamento</w:t>
      </w:r>
    </w:p>
    <w:p>
      <w:r>
        <w:t>MinIO é disponibilizado sob AGPLv3. O conector Confluent S3 usa Confluent Community License, que é source available e não é licença open source aprovada pela OSI. Portanto, o caminho atual tem uma pendência frente à exigência de usar apenas código aberto. Propomos substituir o sink por alternativa de código aberto, preservando metadados e confirmando offsets após a persistência. Essa substituição ainda não foi implementada. A aceitação deste ADR cobre o armazenamento; não atesta conformidade integral da stack.</w:t>
      </w:r>
    </w:p>
    <w:p>
      <w:pPr>
        <w:pStyle w:val="Heading1"/>
      </w:pPr>
      <w:r>
        <w:t>Implementação e evidências</w:t>
      </w:r>
    </w:p>
    <w:p>
      <w:r>
        <w:t>Implementação: conectores/connector-minio-bronze.json, docker-compose.yml, docs/SILVER.md e docs/GOLD.md. A auditoria local de 21/10/2026 conciliou 52 eventos na Bronze. Silver e Gold têm validações próprias; seus resultados não substituem a conferência do histórico bruto.</w:t>
      </w:r>
    </w:p>
    <w:p>
      <w:pPr>
        <w:pStyle w:val="Heading1"/>
      </w:pPr>
      <w:r>
        <w:t>Referências</w:t>
      </w:r>
    </w:p>
    <w:p>
      <w:pPr>
        <w:spacing w:after="40"/>
      </w:pPr>
      <w:hyperlink r:id="rId11">
        <w:r>
          <w:rPr>
            <w:color w:val="174A70"/>
          </w:rPr>
          <w:t>Licença do MinIO</w:t>
        </w:r>
      </w:hyperlink>
    </w:p>
    <w:p>
      <w:pPr>
        <w:spacing w:after="40"/>
      </w:pPr>
      <w:hyperlink r:id="rId12">
        <w:r>
          <w:rPr>
            <w:color w:val="174A70"/>
          </w:rPr>
          <w:t>Licença do conector S3</w:t>
        </w:r>
      </w:hyperlink>
    </w:p>
    <w:p>
      <w:pPr>
        <w:spacing w:after="40"/>
      </w:pPr>
      <w:hyperlink r:id="rId13">
        <w:r>
          <w:rPr>
            <w:color w:val="174A70"/>
          </w:rPr>
          <w:t>Esclarecimento oficial sobre CCL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ADR-003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SHOPVIBE   •   REGISTROS DE DECISÃO ARQUITETURAL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inio/minio/blob/master/LICENSE" TargetMode="External"/><Relationship Id="rId12" Type="http://schemas.openxmlformats.org/officeDocument/2006/relationships/hyperlink" Target="https://github.com/confluentinc/kafka-connect-storage-cloud/blob/master/LICENSE" TargetMode="External"/><Relationship Id="rId13" Type="http://schemas.openxmlformats.org/officeDocument/2006/relationships/hyperlink" Target="https://www.confluent.io/confluent-community-license-fa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Histórico bruto e camadas de dados no MinIO</dc:title>
  <dc:subject>ShopVibe — decisão arquitetural ADR-003</dc:subject>
  <dc:creator>Daniel e Fernanda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