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36"/>
          <w:szCs w:val="36"/>
        </w:rPr>
        <w:t xml:space="preserve">Full-Mesh Benchmark</w:t>
      </w:r>
    </w:p>
    <w:p>
      <w:pPr>
        <w:spacing w:after="200"/>
      </w:pPr>
      <w:r>
        <w:rPr>
          <w:color w:val="2E5496"/>
          <w:sz w:val="24"/>
          <w:szCs w:val="24"/>
        </w:rPr>
        <w:t xml:space="preserve">Methodology Specification</w:t>
      </w:r>
    </w:p>
    <w:p>
      <w:pPr>
        <w:pBdr>
          <w:bottom w:val="single" w:color="2E5496" w:sz="6" w:space="1"/>
        </w:pBdr>
        <w:spacing w:after="200"/>
      </w:pPr>
      <w:r>
        <w:rPr>
          <w:color w:val="666666"/>
          <w:sz w:val="18"/>
          <w:szCs w:val="18"/>
        </w:rPr>
        <w:t xml:space="preserve">Consistent measurement across all four cells (HTTP and A2A, with and without SLIM)</w:t>
      </w:r>
    </w:p>
    <w:p>
      <w:pPr>
        <w:pStyle w:val="Heading1"/>
      </w:pPr>
      <w:r>
        <w:t xml:space="preserve">1. Purpose</w:t>
      </w:r>
    </w:p>
    <w:p>
      <w:pPr>
        <w:spacing w:after="120"/>
      </w:pPr>
      <w:r>
        <w:rPr>
          <w:sz w:val="22"/>
          <w:szCs w:val="22"/>
        </w:rPr>
        <w:t xml:space="preserve">One methodology for all four cells, so results are comparable. The HTTP cells are the reference; the A2A cells must use the same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100"/>
        <w:gridCol w:w="4060"/>
      </w:tblGrid>
      <w:tr>
        <w:trPr>
          <w:tblHeader/>
        </w:trPr>
        <w:tc>
          <w:tcPr>
            <w:tcW w:type="dxa" w:w="1200"/>
            <w:tcBorders>
              <w:top w:val="single" w:color="BBBBBB" w:sz="1"/>
              <w:left w:val="single" w:color="BBBBBB" w:sz="1"/>
              <w:bottom w:val="single" w:color="BBBBBB" w:sz="1"/>
              <w:right w:val="single" w:color="BBBBBB" w:sz="1"/>
            </w:tcBorders>
            <w:shd w:fill="D9E2EC" w:val="clear"/>
            <w:tcMar>
              <w:top w:type="dxa" w:w="60"/>
              <w:left w:type="dxa" w:w="110"/>
              <w:bottom w:type="dxa" w:w="60"/>
              <w:right w:type="dxa" w:w="110"/>
            </w:tcMar>
          </w:tcPr>
          <w:p>
            <w:pPr>
              <w:jc w:val="left"/>
            </w:pPr>
            <w:r>
              <w:rPr>
                <w:b/>
                <w:bCs/>
                <w:sz w:val="19"/>
                <w:szCs w:val="19"/>
              </w:rPr>
              <w:t xml:space="preserve">Cell</w:t>
            </w:r>
          </w:p>
        </w:tc>
        <w:tc>
          <w:tcPr>
            <w:tcW w:type="dxa" w:w="4100"/>
            <w:tcBorders>
              <w:top w:val="single" w:color="BBBBBB" w:sz="1"/>
              <w:left w:val="single" w:color="BBBBBB" w:sz="1"/>
              <w:bottom w:val="single" w:color="BBBBBB" w:sz="1"/>
              <w:right w:val="single" w:color="BBBBBB" w:sz="1"/>
            </w:tcBorders>
            <w:shd w:fill="D9E2EC" w:val="clear"/>
            <w:tcMar>
              <w:top w:type="dxa" w:w="60"/>
              <w:left w:type="dxa" w:w="110"/>
              <w:bottom w:type="dxa" w:w="60"/>
              <w:right w:type="dxa" w:w="110"/>
            </w:tcMar>
          </w:tcPr>
          <w:p>
            <w:pPr>
              <w:jc w:val="left"/>
            </w:pPr>
            <w:r>
              <w:rPr>
                <w:b/>
                <w:bCs/>
                <w:sz w:val="19"/>
                <w:szCs w:val="19"/>
              </w:rPr>
              <w:t xml:space="preserve">Description</w:t>
            </w:r>
          </w:p>
        </w:tc>
        <w:tc>
          <w:tcPr>
            <w:tcW w:type="dxa" w:w="4060"/>
            <w:tcBorders>
              <w:top w:val="single" w:color="BBBBBB" w:sz="1"/>
              <w:left w:val="single" w:color="BBBBBB" w:sz="1"/>
              <w:bottom w:val="single" w:color="BBBBBB" w:sz="1"/>
              <w:right w:val="single" w:color="BBBBBB" w:sz="1"/>
            </w:tcBorders>
            <w:shd w:fill="D9E2EC" w:val="clear"/>
            <w:tcMar>
              <w:top w:type="dxa" w:w="60"/>
              <w:left w:type="dxa" w:w="110"/>
              <w:bottom w:type="dxa" w:w="60"/>
              <w:right w:type="dxa" w:w="110"/>
            </w:tcMar>
          </w:tcPr>
          <w:p>
            <w:pPr>
              <w:jc w:val="left"/>
            </w:pPr>
            <w:r>
              <w:rPr>
                <w:b/>
                <w:bCs/>
                <w:sz w:val="19"/>
                <w:szCs w:val="19"/>
              </w:rPr>
              <w:t xml:space="preserve">Owner</w:t>
            </w:r>
          </w:p>
        </w:tc>
      </w:tr>
      <w:tr>
        <w:trPr>
          <w:tblHeader w:val="false"/>
        </w:trPr>
        <w:tc>
          <w:tcPr>
            <w:tcW w:type="dxa" w:w="1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sz w:val="19"/>
                <w:szCs w:val="19"/>
              </w:rPr>
              <w:t xml:space="preserve">1</w:t>
            </w:r>
          </w:p>
        </w:tc>
        <w:tc>
          <w:tcPr>
            <w:tcW w:type="dxa" w:w="4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sz w:val="19"/>
                <w:szCs w:val="19"/>
              </w:rPr>
              <w:t xml:space="preserve">A2A, no SLIM (mesh)</w:t>
            </w:r>
          </w:p>
        </w:tc>
        <w:tc>
          <w:tcPr>
            <w:tcW w:type="dxa" w:w="4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sz w:val="19"/>
                <w:szCs w:val="19"/>
              </w:rPr>
              <w:t xml:space="preserve">Saify (apply this spec)</w:t>
            </w:r>
          </w:p>
        </w:tc>
      </w:tr>
      <w:tr>
        <w:trPr>
          <w:tblHeader w:val="false"/>
        </w:trPr>
        <w:tc>
          <w:tcPr>
            <w:tcW w:type="dxa" w:w="1200"/>
            <w:tcBorders>
              <w:top w:val="single" w:color="BBBBBB" w:sz="1"/>
              <w:left w:val="single" w:color="BBBBBB" w:sz="1"/>
              <w:bottom w:val="single" w:color="BBBBBB" w:sz="1"/>
              <w:right w:val="single" w:color="BBBBBB" w:sz="1"/>
            </w:tcBorders>
            <w:shd w:fill="F2F5F8" w:val="clear"/>
            <w:tcMar>
              <w:top w:type="dxa" w:w="60"/>
              <w:left w:type="dxa" w:w="110"/>
              <w:bottom w:type="dxa" w:w="60"/>
              <w:right w:type="dxa" w:w="110"/>
            </w:tcMar>
          </w:tcPr>
          <w:p>
            <w:pPr>
              <w:jc w:val="left"/>
            </w:pPr>
            <w:r>
              <w:rPr>
                <w:b w:val="false"/>
                <w:bCs w:val="false"/>
                <w:sz w:val="19"/>
                <w:szCs w:val="19"/>
              </w:rPr>
              <w:t xml:space="preserve">2</w:t>
            </w:r>
          </w:p>
        </w:tc>
        <w:tc>
          <w:tcPr>
            <w:tcW w:type="dxa" w:w="4100"/>
            <w:tcBorders>
              <w:top w:val="single" w:color="BBBBBB" w:sz="1"/>
              <w:left w:val="single" w:color="BBBBBB" w:sz="1"/>
              <w:bottom w:val="single" w:color="BBBBBB" w:sz="1"/>
              <w:right w:val="single" w:color="BBBBBB" w:sz="1"/>
            </w:tcBorders>
            <w:shd w:fill="F2F5F8" w:val="clear"/>
            <w:tcMar>
              <w:top w:type="dxa" w:w="60"/>
              <w:left w:type="dxa" w:w="110"/>
              <w:bottom w:type="dxa" w:w="60"/>
              <w:right w:type="dxa" w:w="110"/>
            </w:tcMar>
          </w:tcPr>
          <w:p>
            <w:pPr>
              <w:jc w:val="left"/>
            </w:pPr>
            <w:r>
              <w:rPr>
                <w:b w:val="false"/>
                <w:bCs w:val="false"/>
                <w:sz w:val="19"/>
                <w:szCs w:val="19"/>
              </w:rPr>
              <w:t xml:space="preserve">A2A over SLIM</w:t>
            </w:r>
          </w:p>
        </w:tc>
        <w:tc>
          <w:tcPr>
            <w:tcW w:type="dxa" w:w="4060"/>
            <w:tcBorders>
              <w:top w:val="single" w:color="BBBBBB" w:sz="1"/>
              <w:left w:val="single" w:color="BBBBBB" w:sz="1"/>
              <w:bottom w:val="single" w:color="BBBBBB" w:sz="1"/>
              <w:right w:val="single" w:color="BBBBBB" w:sz="1"/>
            </w:tcBorders>
            <w:shd w:fill="F2F5F8" w:val="clear"/>
            <w:tcMar>
              <w:top w:type="dxa" w:w="60"/>
              <w:left w:type="dxa" w:w="110"/>
              <w:bottom w:type="dxa" w:w="60"/>
              <w:right w:type="dxa" w:w="110"/>
            </w:tcMar>
          </w:tcPr>
          <w:p>
            <w:pPr>
              <w:jc w:val="left"/>
            </w:pPr>
            <w:r>
              <w:rPr>
                <w:b w:val="false"/>
                <w:bCs w:val="false"/>
                <w:sz w:val="19"/>
                <w:szCs w:val="19"/>
              </w:rPr>
              <w:t xml:space="preserve">Saify (apply this spec)</w:t>
            </w:r>
          </w:p>
        </w:tc>
      </w:tr>
      <w:tr>
        <w:trPr>
          <w:tblHeader w:val="false"/>
        </w:trPr>
        <w:tc>
          <w:tcPr>
            <w:tcW w:type="dxa" w:w="1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sz w:val="19"/>
                <w:szCs w:val="19"/>
              </w:rPr>
              <w:t xml:space="preserve">3</w:t>
            </w:r>
          </w:p>
        </w:tc>
        <w:tc>
          <w:tcPr>
            <w:tcW w:type="dxa" w:w="4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sz w:val="19"/>
                <w:szCs w:val="19"/>
              </w:rPr>
              <w:t xml:space="preserve">HTTP, no SLIM (mesh)</w:t>
            </w:r>
          </w:p>
        </w:tc>
        <w:tc>
          <w:tcPr>
            <w:tcW w:type="dxa" w:w="4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sz w:val="19"/>
                <w:szCs w:val="19"/>
              </w:rPr>
              <w:t xml:space="preserve">Reference (this spec)</w:t>
            </w:r>
          </w:p>
        </w:tc>
      </w:tr>
      <w:tr>
        <w:trPr>
          <w:tblHeader w:val="false"/>
        </w:trPr>
        <w:tc>
          <w:tcPr>
            <w:tcW w:type="dxa" w:w="1200"/>
            <w:tcBorders>
              <w:top w:val="single" w:color="BBBBBB" w:sz="1"/>
              <w:left w:val="single" w:color="BBBBBB" w:sz="1"/>
              <w:bottom w:val="single" w:color="BBBBBB" w:sz="1"/>
              <w:right w:val="single" w:color="BBBBBB" w:sz="1"/>
            </w:tcBorders>
            <w:shd w:fill="F2F5F8" w:val="clear"/>
            <w:tcMar>
              <w:top w:type="dxa" w:w="60"/>
              <w:left w:type="dxa" w:w="110"/>
              <w:bottom w:type="dxa" w:w="60"/>
              <w:right w:type="dxa" w:w="110"/>
            </w:tcMar>
          </w:tcPr>
          <w:p>
            <w:pPr>
              <w:jc w:val="left"/>
            </w:pPr>
            <w:r>
              <w:rPr>
                <w:b w:val="false"/>
                <w:bCs w:val="false"/>
                <w:sz w:val="19"/>
                <w:szCs w:val="19"/>
              </w:rPr>
              <w:t xml:space="preserve">4</w:t>
            </w:r>
          </w:p>
        </w:tc>
        <w:tc>
          <w:tcPr>
            <w:tcW w:type="dxa" w:w="4100"/>
            <w:tcBorders>
              <w:top w:val="single" w:color="BBBBBB" w:sz="1"/>
              <w:left w:val="single" w:color="BBBBBB" w:sz="1"/>
              <w:bottom w:val="single" w:color="BBBBBB" w:sz="1"/>
              <w:right w:val="single" w:color="BBBBBB" w:sz="1"/>
            </w:tcBorders>
            <w:shd w:fill="F2F5F8" w:val="clear"/>
            <w:tcMar>
              <w:top w:type="dxa" w:w="60"/>
              <w:left w:type="dxa" w:w="110"/>
              <w:bottom w:type="dxa" w:w="60"/>
              <w:right w:type="dxa" w:w="110"/>
            </w:tcMar>
          </w:tcPr>
          <w:p>
            <w:pPr>
              <w:jc w:val="left"/>
            </w:pPr>
            <w:r>
              <w:rPr>
                <w:b w:val="false"/>
                <w:bCs w:val="false"/>
                <w:sz w:val="19"/>
                <w:szCs w:val="19"/>
              </w:rPr>
              <w:t xml:space="preserve">HTTP over SLIM</w:t>
            </w:r>
          </w:p>
        </w:tc>
        <w:tc>
          <w:tcPr>
            <w:tcW w:type="dxa" w:w="4060"/>
            <w:tcBorders>
              <w:top w:val="single" w:color="BBBBBB" w:sz="1"/>
              <w:left w:val="single" w:color="BBBBBB" w:sz="1"/>
              <w:bottom w:val="single" w:color="BBBBBB" w:sz="1"/>
              <w:right w:val="single" w:color="BBBBBB" w:sz="1"/>
            </w:tcBorders>
            <w:shd w:fill="F2F5F8" w:val="clear"/>
            <w:tcMar>
              <w:top w:type="dxa" w:w="60"/>
              <w:left w:type="dxa" w:w="110"/>
              <w:bottom w:type="dxa" w:w="60"/>
              <w:right w:type="dxa" w:w="110"/>
            </w:tcMar>
          </w:tcPr>
          <w:p>
            <w:pPr>
              <w:jc w:val="left"/>
            </w:pPr>
            <w:r>
              <w:rPr>
                <w:b w:val="false"/>
                <w:bCs w:val="false"/>
                <w:sz w:val="19"/>
                <w:szCs w:val="19"/>
              </w:rPr>
              <w:t xml:space="preserve">Reference (this spec)</w:t>
            </w:r>
          </w:p>
        </w:tc>
      </w:tr>
    </w:tbl>
    <w:p>
      <w:pPr>
        <w:pStyle w:val="Heading1"/>
      </w:pPr>
      <w:r>
        <w:t xml:space="preserve">2. Topology</w:t>
      </w:r>
    </w:p>
    <w:p>
      <w:pPr>
        <w:pStyle w:val="ListParagraph"/>
        <w:numPr>
          <w:ilvl w:val="0"/>
          <w:numId w:val="2"/>
        </w:numPr>
        <w:spacing w:after="60"/>
      </w:pPr>
      <w:r>
        <w:rPr>
          <w:sz w:val="22"/>
          <w:szCs w:val="22"/>
        </w:rPr>
        <w:t xml:space="preserve">One process per agent, one identity per process; full mesh, N x (N-1) directed pairs per round.</w:t>
      </w:r>
    </w:p>
    <w:p>
      <w:pPr>
        <w:pStyle w:val="ListParagraph"/>
        <w:numPr>
          <w:ilvl w:val="0"/>
          <w:numId w:val="2"/>
        </w:numPr>
        <w:spacing w:after="60"/>
      </w:pPr>
      <w:r>
        <w:rPr>
          <w:sz w:val="22"/>
          <w:szCs w:val="22"/>
        </w:rPr>
        <w:t xml:space="preserve">All agents on a single machine. This is OS-scheduled, not truly parallel: agents share CPU time, so only as many as there are cores run at once. Acceptable while the same setup is used for every cell. Agents on separate instances or cloud pods is the future real-life run.</w:t>
      </w:r>
    </w:p>
    <w:p>
      <w:pPr>
        <w:pStyle w:val="Heading1"/>
      </w:pPr>
      <w:r>
        <w:t xml:space="preserve">3. Agent</w:t>
      </w:r>
    </w:p>
    <w:p>
      <w:pPr>
        <w:pStyle w:val="ListParagraph"/>
        <w:numPr>
          <w:ilvl w:val="0"/>
          <w:numId w:val="2"/>
        </w:numPr>
        <w:spacing w:after="60"/>
      </w:pPr>
      <w:r>
        <w:rPr>
          <w:sz w:val="22"/>
          <w:szCs w:val="22"/>
        </w:rPr>
        <w:t xml:space="preserve">Echo agent only (no LLM, no negotiation), so the result reflects transport. Each agent is both server and client.</w:t>
      </w:r>
    </w:p>
    <w:p>
      <w:pPr>
        <w:pStyle w:val="Heading1"/>
      </w:pPr>
      <w:r>
        <w:t xml:space="preserve">4. Measurement unit</w:t>
      </w:r>
    </w:p>
    <w:p>
      <w:pPr>
        <w:pStyle w:val="ListParagraph"/>
        <w:numPr>
          <w:ilvl w:val="0"/>
          <w:numId w:val="2"/>
        </w:numPr>
        <w:spacing w:after="60"/>
      </w:pPr>
      <w:r>
        <w:rPr>
          <w:sz w:val="22"/>
          <w:szCs w:val="22"/>
        </w:rPr>
        <w:t xml:space="preserve">One unit is a full request-response round trip. Connections are warmed once; the timer excludes setup.</w:t>
      </w:r>
    </w:p>
    <w:p>
      <w:pPr>
        <w:pStyle w:val="ListParagraph"/>
        <w:numPr>
          <w:ilvl w:val="0"/>
          <w:numId w:val="2"/>
        </w:numPr>
        <w:spacing w:after="60"/>
      </w:pPr>
      <w:r>
        <w:rPr>
          <w:sz w:val="22"/>
          <w:szCs w:val="22"/>
        </w:rPr>
        <w:t xml:space="preserve">Record mean, p95, p99 latency and wall time per round.</w:t>
      </w:r>
    </w:p>
    <w:p>
      <w:pPr>
        <w:pStyle w:val="Heading1"/>
      </w:pPr>
      <w:r>
        <w:t xml:space="preserve">5. Modes and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D9E2EC" w:val="clear"/>
            <w:tcMar>
              <w:top w:type="dxa" w:w="60"/>
              <w:left w:type="dxa" w:w="110"/>
              <w:bottom w:type="dxa" w:w="60"/>
              <w:right w:type="dxa" w:w="110"/>
            </w:tcMar>
          </w:tcPr>
          <w:p>
            <w:pPr>
              <w:jc w:val="left"/>
            </w:pPr>
            <w:r>
              <w:rPr>
                <w:b/>
                <w:bCs/>
                <w:sz w:val="19"/>
                <w:szCs w:val="19"/>
              </w:rPr>
              <w:t xml:space="preserve">Parameter</w:t>
            </w:r>
          </w:p>
        </w:tc>
        <w:tc>
          <w:tcPr>
            <w:tcW w:type="dxa" w:w="6240"/>
            <w:tcBorders>
              <w:top w:val="single" w:color="BBBBBB" w:sz="1"/>
              <w:left w:val="single" w:color="BBBBBB" w:sz="1"/>
              <w:bottom w:val="single" w:color="BBBBBB" w:sz="1"/>
              <w:right w:val="single" w:color="BBBBBB" w:sz="1"/>
            </w:tcBorders>
            <w:shd w:fill="D9E2EC" w:val="clear"/>
            <w:tcMar>
              <w:top w:type="dxa" w:w="60"/>
              <w:left w:type="dxa" w:w="110"/>
              <w:bottom w:type="dxa" w:w="60"/>
              <w:right w:type="dxa" w:w="110"/>
            </w:tcMar>
          </w:tcPr>
          <w:p>
            <w:pPr>
              <w:jc w:val="left"/>
            </w:pPr>
            <w:r>
              <w:rPr>
                <w:b/>
                <w:bCs/>
                <w:sz w:val="19"/>
                <w:szCs w:val="19"/>
              </w:rPr>
              <w:t xml:space="preserve">Value</w:t>
            </w:r>
          </w:p>
        </w:tc>
      </w:tr>
      <w:tr>
        <w:trPr>
          <w:tblHeader w:val="false"/>
        </w:trP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sz w:val="19"/>
                <w:szCs w:val="19"/>
              </w:rPr>
              <w:t xml:space="preserve">Agent counts</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sz w:val="19"/>
                <w:szCs w:val="19"/>
              </w:rPr>
              <w:t xml:space="preserve">5, 10, 15, 20, ... (extend toward 100 as resources allow)</w:t>
            </w:r>
          </w:p>
        </w:tc>
      </w:tr>
      <w:tr>
        <w:trPr>
          <w:tblHeader w:val="false"/>
        </w:trPr>
        <w:tc>
          <w:tcPr>
            <w:tcW w:type="dxa" w:w="3120"/>
            <w:tcBorders>
              <w:top w:val="single" w:color="BBBBBB" w:sz="1"/>
              <w:left w:val="single" w:color="BBBBBB" w:sz="1"/>
              <w:bottom w:val="single" w:color="BBBBBB" w:sz="1"/>
              <w:right w:val="single" w:color="BBBBBB" w:sz="1"/>
            </w:tcBorders>
            <w:shd w:fill="F2F5F8" w:val="clear"/>
            <w:tcMar>
              <w:top w:type="dxa" w:w="60"/>
              <w:left w:type="dxa" w:w="110"/>
              <w:bottom w:type="dxa" w:w="60"/>
              <w:right w:type="dxa" w:w="110"/>
            </w:tcMar>
          </w:tcPr>
          <w:p>
            <w:pPr>
              <w:jc w:val="left"/>
            </w:pPr>
            <w:r>
              <w:rPr>
                <w:b w:val="false"/>
                <w:bCs w:val="false"/>
                <w:sz w:val="19"/>
                <w:szCs w:val="19"/>
              </w:rPr>
              <w:t xml:space="preserve">Payload sizes</w:t>
            </w:r>
          </w:p>
        </w:tc>
        <w:tc>
          <w:tcPr>
            <w:tcW w:type="dxa" w:w="6240"/>
            <w:tcBorders>
              <w:top w:val="single" w:color="BBBBBB" w:sz="1"/>
              <w:left w:val="single" w:color="BBBBBB" w:sz="1"/>
              <w:bottom w:val="single" w:color="BBBBBB" w:sz="1"/>
              <w:right w:val="single" w:color="BBBBBB" w:sz="1"/>
            </w:tcBorders>
            <w:shd w:fill="F2F5F8" w:val="clear"/>
            <w:tcMar>
              <w:top w:type="dxa" w:w="60"/>
              <w:left w:type="dxa" w:w="110"/>
              <w:bottom w:type="dxa" w:w="60"/>
              <w:right w:type="dxa" w:w="110"/>
            </w:tcMar>
          </w:tcPr>
          <w:p>
            <w:pPr>
              <w:jc w:val="left"/>
            </w:pPr>
            <w:r>
              <w:rPr>
                <w:b w:val="false"/>
                <w:bCs w:val="false"/>
                <w:sz w:val="19"/>
                <w:szCs w:val="19"/>
              </w:rPr>
              <w:t xml:space="preserve">64 and 512 bytes</w:t>
            </w:r>
          </w:p>
        </w:tc>
      </w:tr>
      <w:tr>
        <w:trPr>
          <w:tblHeader w:val="false"/>
        </w:trP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sz w:val="19"/>
                <w:szCs w:val="19"/>
              </w:rPr>
              <w:t xml:space="preserve">Rounds per config</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jc w:val="left"/>
            </w:pPr>
            <w:r>
              <w:rPr>
                <w:b w:val="false"/>
                <w:bCs w:val="false"/>
                <w:sz w:val="19"/>
                <w:szCs w:val="19"/>
              </w:rPr>
              <w:t xml:space="preserve">3 (pool for stable percentiles)</w:t>
            </w:r>
          </w:p>
        </w:tc>
      </w:tr>
      <w:tr>
        <w:trPr>
          <w:tblHeader w:val="false"/>
        </w:trPr>
        <w:tc>
          <w:tcPr>
            <w:tcW w:type="dxa" w:w="3120"/>
            <w:tcBorders>
              <w:top w:val="single" w:color="BBBBBB" w:sz="1"/>
              <w:left w:val="single" w:color="BBBBBB" w:sz="1"/>
              <w:bottom w:val="single" w:color="BBBBBB" w:sz="1"/>
              <w:right w:val="single" w:color="BBBBBB" w:sz="1"/>
            </w:tcBorders>
            <w:shd w:fill="F2F5F8" w:val="clear"/>
            <w:tcMar>
              <w:top w:type="dxa" w:w="60"/>
              <w:left w:type="dxa" w:w="110"/>
              <w:bottom w:type="dxa" w:w="60"/>
              <w:right w:type="dxa" w:w="110"/>
            </w:tcMar>
          </w:tcPr>
          <w:p>
            <w:pPr>
              <w:jc w:val="left"/>
            </w:pPr>
            <w:r>
              <w:rPr>
                <w:b w:val="false"/>
                <w:bCs w:val="false"/>
                <w:sz w:val="19"/>
                <w:szCs w:val="19"/>
              </w:rPr>
              <w:t xml:space="preserve">Modes</w:t>
            </w:r>
          </w:p>
        </w:tc>
        <w:tc>
          <w:tcPr>
            <w:tcW w:type="dxa" w:w="6240"/>
            <w:tcBorders>
              <w:top w:val="single" w:color="BBBBBB" w:sz="1"/>
              <w:left w:val="single" w:color="BBBBBB" w:sz="1"/>
              <w:bottom w:val="single" w:color="BBBBBB" w:sz="1"/>
              <w:right w:val="single" w:color="BBBBBB" w:sz="1"/>
            </w:tcBorders>
            <w:shd w:fill="F2F5F8" w:val="clear"/>
            <w:tcMar>
              <w:top w:type="dxa" w:w="60"/>
              <w:left w:type="dxa" w:w="110"/>
              <w:bottom w:type="dxa" w:w="60"/>
              <w:right w:type="dxa" w:w="110"/>
            </w:tcMar>
          </w:tcPr>
          <w:p>
            <w:pPr>
              <w:jc w:val="left"/>
            </w:pPr>
            <w:r>
              <w:rPr>
                <w:b w:val="false"/>
                <w:bCs w:val="false"/>
                <w:sz w:val="19"/>
                <w:szCs w:val="19"/>
              </w:rPr>
              <w:t xml:space="preserve">sequential, concurrent, parallel (process per agent)</w:t>
            </w:r>
          </w:p>
        </w:tc>
      </w:tr>
    </w:tbl>
    <w:p>
      <w:pPr>
        <w:pStyle w:val="Heading1"/>
      </w:pPr>
      <w:r>
        <w:t xml:space="preserve">6. Pass criterion</w:t>
      </w:r>
    </w:p>
    <w:p>
      <w:pPr>
        <w:pStyle w:val="ListParagraph"/>
        <w:numPr>
          <w:ilvl w:val="0"/>
          <w:numId w:val="2"/>
        </w:numPr>
        <w:spacing w:after="60"/>
      </w:pPr>
      <w:r>
        <w:rPr>
          <w:sz w:val="22"/>
          <w:szCs w:val="22"/>
        </w:rPr>
        <w:t xml:space="preserve">Reconcile messages received against sent. A run is valid only at 100 percent delivery.</w:t>
      </w:r>
    </w:p>
    <w:p>
      <w:pPr>
        <w:pStyle w:val="Heading1"/>
      </w:pPr>
      <w:r>
        <w:t xml:space="preserve">7. Environment to record</w:t>
      </w:r>
    </w:p>
    <w:p>
      <w:pPr>
        <w:pStyle w:val="ListParagraph"/>
        <w:numPr>
          <w:ilvl w:val="0"/>
          <w:numId w:val="2"/>
        </w:numPr>
        <w:spacing w:after="60"/>
      </w:pPr>
      <w:r>
        <w:rPr>
          <w:sz w:val="22"/>
          <w:szCs w:val="22"/>
        </w:rPr>
        <w:t xml:space="preserve">CPU cores and memory; node image and client library versions (pinned to lockfile); note loopback (lower-bound latency).</w:t>
      </w:r>
    </w:p>
    <w:p>
      <w:pPr>
        <w:pStyle w:val="Heading1"/>
      </w:pPr>
      <w:r>
        <w:t xml:space="preserve">8. Outputs</w:t>
      </w:r>
    </w:p>
    <w:p>
      <w:pPr>
        <w:pStyle w:val="ListParagraph"/>
        <w:numPr>
          <w:ilvl w:val="0"/>
          <w:numId w:val="2"/>
        </w:numPr>
        <w:spacing w:after="60"/>
      </w:pPr>
      <w:r>
        <w:rPr>
          <w:sz w:val="22"/>
          <w:szCs w:val="22"/>
        </w:rPr>
        <w:t xml:space="preserve">Per cell: a JSON sweep file, a results table, the with-vs-without-SLIM comparison, and resource and bottleneck notes.</w:t>
      </w:r>
    </w:p>
    <w:p>
      <w:pPr>
        <w:pStyle w:val="Heading1"/>
      </w:pPr>
      <w:r>
        <w:t xml:space="preserve">9. Reference implementation</w:t>
      </w:r>
    </w:p>
    <w:p>
      <w:pPr>
        <w:pStyle w:val="ListParagraph"/>
        <w:numPr>
          <w:ilvl w:val="0"/>
          <w:numId w:val="2"/>
        </w:numPr>
        <w:spacing w:after="60"/>
      </w:pPr>
      <w:r>
        <w:rPr>
          <w:sz w:val="22"/>
          <w:szCs w:val="22"/>
        </w:rPr>
        <w:t xml:space="preserve">HTTP: http_mesh_benchmark.py (cell 3), http_slim_mesh_benchmark.py (cell 4).</w:t>
      </w:r>
    </w:p>
    <w:p>
      <w:pPr>
        <w:pStyle w:val="ListParagraph"/>
        <w:numPr>
          <w:ilvl w:val="0"/>
          <w:numId w:val="2"/>
        </w:numPr>
        <w:spacing w:after="60"/>
      </w:pPr>
      <w:r>
        <w:rPr>
          <w:sz w:val="22"/>
          <w:szCs w:val="22"/>
        </w:rPr>
        <w:t xml:space="preserve">A2A, already built to this spec: a2a_http_mesh_benchmark.py (cell 1), a2a_slim_mesh_benchmark.py (cell 2).</w:t>
      </w:r>
    </w:p>
    <w:p>
      <w:pPr>
        <w:pStyle w:val="ListParagraph"/>
        <w:numPr>
          <w:ilvl w:val="0"/>
          <w:numId w:val="2"/>
        </w:numPr>
        <w:spacing w:after="60"/>
      </w:pPr>
      <w:r>
        <w:rPr>
          <w:sz w:val="22"/>
          <w:szCs w:val="22"/>
        </w:rPr>
        <w:t xml:space="preserve">Repository slim-benchmarks, branch feat/full-mesh-scale-bench.</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Benchmark Methodology Specification — </w:t>
    </w: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2026-06-30T21:39:06.053Z</dcterms:created>
  <dcterms:modified xsi:type="dcterms:W3CDTF">2026-06-30T21:39:06.053Z</dcterms:modified>
</cp:coreProperties>
</file>

<file path=docProps/custom.xml><?xml version="1.0" encoding="utf-8"?>
<Properties xmlns="http://schemas.openxmlformats.org/officeDocument/2006/custom-properties" xmlns:vt="http://schemas.openxmlformats.org/officeDocument/2006/docPropsVTypes"/>
</file>