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SLIM Full-Mesh Benchmark — Test Report</w:t>
      </w:r>
    </w:p>
    <w:p>
      <w:pPr>
        <w:spacing w:after="40"/>
      </w:pPr>
      <w:r>
        <w:rPr>
          <w:color w:val="555555"/>
          <w:sz w:val="20"/>
          <w:szCs w:val="20"/>
        </w:rPr>
        <w:t xml:space="preserve">Repository: slim-benchmarks   Branch: feat/full-mesh-scale-bench</w:t>
      </w:r>
    </w:p>
    <w:p>
      <w:pPr>
        <w:spacing w:after="200"/>
      </w:pPr>
      <w:r>
        <w:rPr>
          <w:color w:val="555555"/>
          <w:sz w:val="20"/>
          <w:szCs w:val="20"/>
        </w:rPr>
        <w:t xml:space="preserve">Date: 22 June 2026</w:t>
      </w:r>
    </w:p>
    <w:p>
      <w:pPr>
        <w:pStyle w:val="Heading2"/>
      </w:pPr>
      <w:r>
        <w:t xml:space="preserve">Objective</w:t>
      </w:r>
    </w:p>
    <w:p>
      <w:pPr>
        <w:spacing w:after="120"/>
      </w:pPr>
      <w:r>
        <w:rPr>
          <w:sz w:val="22"/>
          <w:szCs w:val="22"/>
        </w:rPr>
        <w:t xml:space="preserve">Measure real SLIM unicast latency for a full mesh of agents on a live broker, as the first transport in the planned comparison (A2A and HTTP, with and without SLIM). This run covers the SLIM transport only, swept over agent count and payload size, to confirm the broker holds up and to establish a baseline before the comparison legs are added.</w:t>
      </w:r>
    </w:p>
    <w:p>
      <w:pPr>
        <w:pStyle w:val="Heading2"/>
      </w:pPr>
      <w:r>
        <w:t xml:space="preserve">Correction to the earlier benchmark</w:t>
      </w:r>
    </w:p>
    <w:p>
      <w:pPr>
        <w:spacing w:after="120"/>
      </w:pPr>
      <w:r>
        <w:rPr>
          <w:sz w:val="22"/>
          <w:szCs w:val="22"/>
        </w:rPr>
        <w:t xml:space="preserve">The benchmark previously on the albertid1 branch measured an in-memory bus for its SLIM path (an async no-op), so its SLIM-versus-HTTP figures compared a stub against a real socket. This run replaces that with the real slim-bindings 1.3.0 client talking to an actual SLIM node, so the numbers below reflect the real dataplane.</w:t>
      </w:r>
    </w:p>
    <w:p>
      <w:pPr>
        <w:pStyle w:val="Heading2"/>
      </w:pPr>
      <w:r>
        <w:t xml:space="preserve">Environment</w:t>
      </w:r>
    </w:p>
    <w:p>
      <w:pPr>
        <w:pStyle w:val="ListParagraph"/>
        <w:numPr>
          <w:ilvl w:val="0"/>
          <w:numId w:val="2"/>
        </w:numPr>
        <w:spacing w:after="60"/>
      </w:pPr>
      <w:r>
        <w:rPr>
          <w:sz w:val="22"/>
          <w:szCs w:val="22"/>
        </w:rPr>
        <w:t xml:space="preserve">SLIM node: ghcr.io/agntcy/slim:1.3.0, run in Docker, dataplane on port 46357, TLS insecure (development mode).</w:t>
      </w:r>
    </w:p>
    <w:p>
      <w:pPr>
        <w:pStyle w:val="ListParagraph"/>
        <w:numPr>
          <w:ilvl w:val="0"/>
          <w:numId w:val="2"/>
        </w:numPr>
        <w:spacing w:after="60"/>
      </w:pPr>
      <w:r>
        <w:rPr>
          <w:sz w:val="22"/>
          <w:szCs w:val="22"/>
        </w:rPr>
        <w:t xml:space="preserve">Client: slim-bindings 1.3.0, Python 3.12, point-to-point sessions over a shared secret.</w:t>
      </w:r>
    </w:p>
    <w:p>
      <w:pPr>
        <w:pStyle w:val="ListParagraph"/>
        <w:numPr>
          <w:ilvl w:val="0"/>
          <w:numId w:val="2"/>
        </w:numPr>
        <w:spacing w:after="60"/>
      </w:pPr>
      <w:r>
        <w:rPr>
          <w:sz w:val="22"/>
          <w:szCs w:val="22"/>
        </w:rPr>
        <w:t xml:space="preserve">Host: local macOS workstation, single broker instance.</w:t>
      </w:r>
    </w:p>
    <w:p>
      <w:pPr>
        <w:pStyle w:val="ListParagraph"/>
        <w:numPr>
          <w:ilvl w:val="0"/>
          <w:numId w:val="2"/>
        </w:numPr>
        <w:spacing w:after="60"/>
      </w:pPr>
      <w:r>
        <w:rPr>
          <w:sz w:val="22"/>
          <w:szCs w:val="22"/>
        </w:rPr>
        <w:t xml:space="preserve">Code: slim_bench/mesh.py and mesh_benchmark.py; client and node config carried over from develop-slim1.x.</w:t>
      </w:r>
    </w:p>
    <w:p>
      <w:pPr>
        <w:pStyle w:val="Heading2"/>
      </w:pPr>
      <w:r>
        <w:t xml:space="preserve">Method</w:t>
      </w:r>
    </w:p>
    <w:p>
      <w:pPr>
        <w:pStyle w:val="ListParagraph"/>
        <w:numPr>
          <w:ilvl w:val="0"/>
          <w:numId w:val="2"/>
        </w:numPr>
        <w:spacing w:after="60"/>
      </w:pPr>
      <w:r>
        <w:rPr>
          <w:sz w:val="22"/>
          <w:szCs w:val="22"/>
        </w:rPr>
        <w:t xml:space="preserve">Full mesh: each agent is a real SLIM app that subscribes its own name and holds a point-to-point session to every other agent. For N agents this is N x (N-1) directed edges.</w:t>
      </w:r>
    </w:p>
    <w:p>
      <w:pPr>
        <w:pStyle w:val="ListParagraph"/>
        <w:numPr>
          <w:ilvl w:val="0"/>
          <w:numId w:val="2"/>
        </w:numPr>
        <w:spacing w:after="60"/>
      </w:pPr>
      <w:r>
        <w:rPr>
          <w:sz w:val="22"/>
          <w:szCs w:val="22"/>
        </w:rPr>
        <w:t xml:space="preserve">Sessions are opened once in a warm phase; setup cost is excluded from per-message timings and reported separately.</w:t>
      </w:r>
    </w:p>
    <w:p>
      <w:pPr>
        <w:pStyle w:val="ListParagraph"/>
        <w:numPr>
          <w:ilvl w:val="0"/>
          <w:numId w:val="2"/>
        </w:numPr>
        <w:spacing w:after="60"/>
      </w:pPr>
      <w:r>
        <w:rPr>
          <w:sz w:val="22"/>
          <w:szCs w:val="22"/>
        </w:rPr>
        <w:t xml:space="preserve">Each agent then publishes one message per peer per round, using publish_and_wait (delivery confirmed by the broker). Five rounds per configuration.</w:t>
      </w:r>
    </w:p>
    <w:p>
      <w:pPr>
        <w:pStyle w:val="ListParagraph"/>
        <w:numPr>
          <w:ilvl w:val="0"/>
          <w:numId w:val="2"/>
        </w:numPr>
        <w:spacing w:after="60"/>
      </w:pPr>
      <w:r>
        <w:rPr>
          <w:sz w:val="22"/>
          <w:szCs w:val="22"/>
        </w:rPr>
        <w:t xml:space="preserve">Two modes: sequential (one publish in flight, a clean latency floor) and concurrent (every agent fans out to all peers at once, released together, to measure behaviour under congestion).</w:t>
      </w:r>
    </w:p>
    <w:p>
      <w:pPr>
        <w:pStyle w:val="ListParagraph"/>
        <w:numPr>
          <w:ilvl w:val="0"/>
          <w:numId w:val="2"/>
        </w:numPr>
        <w:spacing w:after="60"/>
      </w:pPr>
      <w:r>
        <w:rPr>
          <w:sz w:val="22"/>
          <w:szCs w:val="22"/>
        </w:rPr>
        <w:t xml:space="preserve">Delivery is verified, not assumed: receivers count every message received and it is reconciled against the number sent.</w:t>
      </w:r>
    </w:p>
    <w:p>
      <w:pPr>
        <w:pStyle w:val="ListParagraph"/>
        <w:numPr>
          <w:ilvl w:val="0"/>
          <w:numId w:val="2"/>
        </w:numPr>
        <w:spacing w:after="60"/>
      </w:pPr>
      <w:r>
        <w:rPr>
          <w:sz w:val="22"/>
          <w:szCs w:val="22"/>
        </w:rPr>
        <w:t xml:space="preserve">Sweep: agent counts 10, 20, 40; payload sizes 64, 512, 4096 bytes; both modes. Agents are namespaced per run so repeated configurations on one broker do not collide.</w:t>
      </w:r>
    </w:p>
    <w:p>
      <w:pPr>
        <w:pStyle w:val="Heading2"/>
      </w:pPr>
      <w:r>
        <w:t xml:space="preserve">Results</w:t>
      </w:r>
    </w:p>
    <w:p>
      <w:pPr>
        <w:spacing w:after="120"/>
      </w:pPr>
      <w:r>
        <w:rPr>
          <w:sz w:val="22"/>
          <w:szCs w:val="22"/>
        </w:rPr>
        <w:t xml:space="preserve">Per-message publish latency, in milliseconds. Every configuration delivered 100 percent (received equalled sent), about 49,500 messages in total across the sweep.</w:t>
      </w:r>
    </w:p>
    <w:p>
      <w:pPr>
        <w:spacing w:after="60" w:before="120"/>
      </w:pPr>
      <w:r>
        <w:rPr>
          <w:b/>
          <w:bCs/>
          <w:sz w:val="20"/>
          <w:szCs w:val="20"/>
        </w:rPr>
        <w:t xml:space="preserve">Sequential (one publish in 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1380"/>
        <w:gridCol w:w="1280"/>
        <w:gridCol w:w="1280"/>
        <w:gridCol w:w="1280"/>
        <w:gridCol w:w="1980"/>
      </w:tblGrid>
      <w:tr>
        <w:trPr>
          <w:tblHeader/>
        </w:trPr>
        <w:tc>
          <w:tcPr>
            <w:tcW w:type="dxa" w:w="10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Agents</w:t>
            </w:r>
          </w:p>
        </w:tc>
        <w:tc>
          <w:tcPr>
            <w:tcW w:type="dxa" w:w="10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Payload</w:t>
            </w:r>
          </w:p>
        </w:tc>
        <w:tc>
          <w:tcPr>
            <w:tcW w:type="dxa" w:w="13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Messages</w:t>
            </w:r>
          </w:p>
        </w:tc>
        <w:tc>
          <w:tcPr>
            <w:tcW w:type="dxa" w:w="12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Mean ms</w:t>
            </w:r>
          </w:p>
        </w:tc>
        <w:tc>
          <w:tcPr>
            <w:tcW w:type="dxa" w:w="12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p95 ms</w:t>
            </w:r>
          </w:p>
        </w:tc>
        <w:tc>
          <w:tcPr>
            <w:tcW w:type="dxa" w:w="12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p99 ms</w:t>
            </w:r>
          </w:p>
        </w:tc>
        <w:tc>
          <w:tcPr>
            <w:tcW w:type="dxa" w:w="19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Round wall ms</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10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64</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450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0.055</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0.099</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0.117</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5.0</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10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512</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450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0.084</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0.126</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0.185</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7.6</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10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4096</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450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0.329</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0.366</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0.439</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29.7</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20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64</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1900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0.057</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0.102</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0.138</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21.8</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20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512</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1900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0.103</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0.187</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0.267</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39.3</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20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4096</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1900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0.335</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0.402</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0.551</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127.5</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40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64</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7800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0.080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0.157</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0.216</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124.9</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40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512</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7800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0.102</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0.164</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0.206</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160.2</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40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4096</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7800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0.348</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0.413</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0.492</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544.0</w:t>
            </w:r>
          </w:p>
        </w:tc>
      </w:tr>
    </w:tbl>
    <w:p>
      <w:pPr>
        <w:spacing w:after="60" w:before="120"/>
      </w:pPr>
      <w:r>
        <w:rPr>
          <w:b/>
          <w:bCs/>
          <w:sz w:val="20"/>
          <w:szCs w:val="20"/>
        </w:rPr>
        <w:t xml:space="preserve">Concurrent (every agent fans out to all peers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1380"/>
        <w:gridCol w:w="1280"/>
        <w:gridCol w:w="1280"/>
        <w:gridCol w:w="1280"/>
        <w:gridCol w:w="1980"/>
      </w:tblGrid>
      <w:tr>
        <w:trPr>
          <w:tblHeader/>
        </w:trPr>
        <w:tc>
          <w:tcPr>
            <w:tcW w:type="dxa" w:w="10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Agents</w:t>
            </w:r>
          </w:p>
        </w:tc>
        <w:tc>
          <w:tcPr>
            <w:tcW w:type="dxa" w:w="10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Payload</w:t>
            </w:r>
          </w:p>
        </w:tc>
        <w:tc>
          <w:tcPr>
            <w:tcW w:type="dxa" w:w="13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Messages</w:t>
            </w:r>
          </w:p>
        </w:tc>
        <w:tc>
          <w:tcPr>
            <w:tcW w:type="dxa" w:w="12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Mean ms</w:t>
            </w:r>
          </w:p>
        </w:tc>
        <w:tc>
          <w:tcPr>
            <w:tcW w:type="dxa" w:w="12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p95 ms</w:t>
            </w:r>
          </w:p>
        </w:tc>
        <w:tc>
          <w:tcPr>
            <w:tcW w:type="dxa" w:w="12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p99 ms</w:t>
            </w:r>
          </w:p>
        </w:tc>
        <w:tc>
          <w:tcPr>
            <w:tcW w:type="dxa" w:w="1980"/>
            <w:tcBorders>
              <w:top w:val="single" w:color="BFBFBF" w:sz="1"/>
              <w:left w:val="single" w:color="BFBFBF" w:sz="1"/>
              <w:bottom w:val="single" w:color="BFBFBF" w:sz="1"/>
              <w:right w:val="single" w:color="BFBFBF" w:sz="1"/>
            </w:tcBorders>
            <w:shd w:fill="E8EDF2" w:val="clear"/>
            <w:tcMar>
              <w:top w:type="dxa" w:w="60"/>
              <w:left w:type="dxa" w:w="110"/>
              <w:bottom w:type="dxa" w:w="60"/>
              <w:right w:type="dxa" w:w="110"/>
            </w:tcMar>
            <w:vAlign w:val="center"/>
          </w:tcPr>
          <w:p>
            <w:r>
              <w:rPr>
                <w:b/>
                <w:bCs/>
                <w:sz w:val="18"/>
                <w:szCs w:val="18"/>
              </w:rPr>
              <w:t xml:space="preserve">Round wall ms</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10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64</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450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0.999</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2.566</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3.521</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12.4</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10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512</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450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0.827</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2.334</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3.888</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9.6</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10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4096</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450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2.886</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8.550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12.421</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32.5</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20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64</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1900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1.575</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4.618</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6.762</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35.5</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20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512</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1900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2.203</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6.145</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9.480</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50.0</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20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4096</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1900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6.628</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18.865</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27.122</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146.1</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40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64</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7800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4.859</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12.877</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18.630</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215.0</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40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512</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7800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6.214</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16.774</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24.009</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273.6</w:t>
            </w:r>
          </w:p>
        </w:tc>
      </w:tr>
      <w:tr>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sz w:val="18"/>
                <w:szCs w:val="18"/>
              </w:rPr>
              <w:t xml:space="preserve">40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4096</w:t>
            </w:r>
          </w:p>
        </w:tc>
        <w:tc>
          <w:tcPr>
            <w:tcW w:type="dxa" w:w="1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7800</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15.595</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40.362</w:t>
            </w:r>
          </w:p>
        </w:tc>
        <w:tc>
          <w:tcPr>
            <w:tcW w:type="dxa" w:w="12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58.003</w:t>
            </w:r>
          </w:p>
        </w:tc>
        <w:tc>
          <w:tcPr>
            <w:tcW w:type="dxa" w:w="19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right"/>
            </w:pPr>
            <w:r>
              <w:rPr>
                <w:sz w:val="18"/>
                <w:szCs w:val="18"/>
              </w:rPr>
              <w:t xml:space="preserve">669.4</w:t>
            </w:r>
          </w:p>
        </w:tc>
      </w:tr>
    </w:tbl>
    <w:p>
      <w:pPr>
        <w:pStyle w:val="Heading2"/>
      </w:pPr>
      <w:r>
        <w:t xml:space="preserve">Observations</w:t>
      </w:r>
    </w:p>
    <w:p>
      <w:pPr>
        <w:pStyle w:val="ListParagraph"/>
        <w:numPr>
          <w:ilvl w:val="0"/>
          <w:numId w:val="2"/>
        </w:numPr>
        <w:spacing w:after="60"/>
      </w:pPr>
      <w:r>
        <w:rPr>
          <w:sz w:val="22"/>
          <w:szCs w:val="22"/>
        </w:rPr>
        <w:t xml:space="preserve">No message loss anywhere: all 18 configurations delivered every message.</w:t>
      </w:r>
    </w:p>
    <w:p>
      <w:pPr>
        <w:pStyle w:val="ListParagraph"/>
        <w:numPr>
          <w:ilvl w:val="0"/>
          <w:numId w:val="2"/>
        </w:numPr>
        <w:spacing w:after="60"/>
      </w:pPr>
      <w:r>
        <w:rPr>
          <w:sz w:val="22"/>
          <w:szCs w:val="22"/>
        </w:rPr>
        <w:t xml:space="preserve">Sequential latency is a sub-millisecond floor, nearly flat in agent count and driven mainly by payload size (about 0.05 to 0.10 ms at 64 to 512 bytes, about 0.35 ms at 4 KB).</w:t>
      </w:r>
    </w:p>
    <w:p>
      <w:pPr>
        <w:pStyle w:val="ListParagraph"/>
        <w:numPr>
          <w:ilvl w:val="0"/>
          <w:numId w:val="2"/>
        </w:numPr>
        <w:spacing w:after="60"/>
      </w:pPr>
      <w:r>
        <w:rPr>
          <w:sz w:val="22"/>
          <w:szCs w:val="22"/>
        </w:rPr>
        <w:t xml:space="preserve">Concurrent fanout is where the cost appears: latency rises with both agent count and payload. The worst case (40 agents, 4 KB, all firing together) is mean 15.6 ms and p99 58 ms, still bounded with no drops.</w:t>
      </w:r>
    </w:p>
    <w:p>
      <w:pPr>
        <w:pStyle w:val="ListParagraph"/>
        <w:numPr>
          <w:ilvl w:val="0"/>
          <w:numId w:val="2"/>
        </w:numPr>
        <w:spacing w:after="60"/>
      </w:pPr>
      <w:r>
        <w:rPr>
          <w:sz w:val="22"/>
          <w:szCs w:val="22"/>
        </w:rPr>
        <w:t xml:space="preserve">Round wall-clock grows roughly with total message volume and is a reasonable throughput proxy.</w:t>
      </w:r>
    </w:p>
    <w:p>
      <w:pPr>
        <w:pStyle w:val="ListParagraph"/>
        <w:numPr>
          <w:ilvl w:val="0"/>
          <w:numId w:val="2"/>
        </w:numPr>
        <w:spacing w:after="60"/>
      </w:pPr>
      <w:r>
        <w:rPr>
          <w:sz w:val="22"/>
          <w:szCs w:val="22"/>
        </w:rPr>
        <w:t xml:space="preserve">Reference single pair (connectivity test): session setup about 5 to 6 ms cold, publish about 0.4 ms.</w:t>
      </w:r>
    </w:p>
    <w:p>
      <w:pPr>
        <w:pStyle w:val="Heading2"/>
      </w:pPr>
      <w:r>
        <w:t xml:space="preserve">Next steps</w:t>
      </w:r>
    </w:p>
    <w:p>
      <w:pPr>
        <w:pStyle w:val="ListParagraph"/>
        <w:numPr>
          <w:ilvl w:val="0"/>
          <w:numId w:val="3"/>
        </w:numPr>
        <w:spacing w:after="60"/>
      </w:pPr>
      <w:r>
        <w:rPr>
          <w:sz w:val="22"/>
          <w:szCs w:val="22"/>
        </w:rPr>
        <w:t xml:space="preserve">Add the HTTP and A2A transports on the same mesh driver, with and without SLIM, to complete the four-cell comparison.</w:t>
      </w:r>
    </w:p>
    <w:p>
      <w:pPr>
        <w:pStyle w:val="ListParagraph"/>
        <w:numPr>
          <w:ilvl w:val="0"/>
          <w:numId w:val="3"/>
        </w:numPr>
        <w:spacing w:after="60"/>
      </w:pPr>
      <w:r>
        <w:rPr>
          <w:sz w:val="22"/>
          <w:szCs w:val="22"/>
        </w:rPr>
        <w:t xml:space="preserve">Extend the agent sweep towards 100 and confirm the improvement figure against the agreed baseline pair.</w:t>
      </w:r>
    </w:p>
    <w:p>
      <w:pPr>
        <w:pStyle w:val="ListParagraph"/>
        <w:numPr>
          <w:ilvl w:val="0"/>
          <w:numId w:val="3"/>
        </w:numPr>
        <w:spacing w:after="60"/>
      </w:pPr>
      <w:r>
        <w:rPr>
          <w:sz w:val="22"/>
          <w:szCs w:val="22"/>
        </w:rPr>
        <w:t xml:space="preserve">Add per-run node teardown and rebuild, and automate repeated runs.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2026-06-24T15:38:43.526Z</dcterms:created>
  <dcterms:modified xsi:type="dcterms:W3CDTF">2026-06-24T15:38:43.526Z</dcterms:modified>
</cp:coreProperties>
</file>

<file path=docProps/custom.xml><?xml version="1.0" encoding="utf-8"?>
<Properties xmlns="http://schemas.openxmlformats.org/officeDocument/2006/custom-properties" xmlns:vt="http://schemas.openxmlformats.org/officeDocument/2006/docPropsVTypes"/>
</file>