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36"/>
          <w:szCs w:val="36"/>
        </w:rPr>
        <w:t xml:space="preserve">Full-Mesh Benchmark</w:t>
      </w:r>
    </w:p>
    <w:p>
      <w:pPr>
        <w:spacing w:after="200"/>
      </w:pPr>
      <w:r>
        <w:rPr>
          <w:color w:val="2E5496"/>
          <w:sz w:val="24"/>
          <w:szCs w:val="24"/>
        </w:rPr>
        <w:t xml:space="preserve">Methodology Specification</w:t>
      </w:r>
    </w:p>
    <w:p>
      <w:pPr>
        <w:pBdr>
          <w:bottom w:val="single" w:color="2E5496" w:sz="6" w:space="1"/>
        </w:pBdr>
        <w:spacing w:after="200"/>
      </w:pPr>
      <w:r>
        <w:rPr>
          <w:color w:val="666666"/>
          <w:sz w:val="18"/>
          <w:szCs w:val="18"/>
        </w:rPr>
        <w:t xml:space="preserve">For consistent measurement across all four cells (HTTP and A2A, with and without SLIM)</w:t>
      </w:r>
    </w:p>
    <w:p>
      <w:pPr>
        <w:pStyle w:val="Heading1"/>
      </w:pPr>
      <w:r>
        <w:t xml:space="preserve">1. Purpose</w:t>
      </w:r>
    </w:p>
    <w:p>
      <w:pPr>
        <w:spacing w:after="120"/>
      </w:pPr>
      <w:r>
        <w:rPr>
          <w:sz w:val="22"/>
          <w:szCs w:val="22"/>
        </w:rPr>
        <w:t xml:space="preserve">This document fixes one measurement methodology so that all four cells are produced the same way and the results are directly comparable. The HTTP cells are the reference; the same methodology must be applied to the A2A cells. The four cells: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00"/>
        <w:gridCol w:w="4060"/>
      </w:tblGrid>
      <w:tr>
        <w:trPr>
          <w:tblHeader/>
        </w:trPr>
        <w:tc>
          <w:tcPr>
            <w:tcW w:type="dxa" w:w="120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jc w:val="left"/>
            </w:pPr>
            <w:r>
              <w:rPr>
                <w:b/>
                <w:bCs/>
                <w:sz w:val="19"/>
                <w:szCs w:val="19"/>
              </w:rPr>
              <w:t xml:space="preserve">Cell</w:t>
            </w:r>
          </w:p>
        </w:tc>
        <w:tc>
          <w:tcPr>
            <w:tcW w:type="dxa" w:w="410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jc w:val="left"/>
            </w:pPr>
            <w:r>
              <w:rPr>
                <w:b/>
                <w:bCs/>
                <w:sz w:val="19"/>
                <w:szCs w:val="19"/>
              </w:rPr>
              <w:t xml:space="preserve">Description</w:t>
            </w:r>
          </w:p>
        </w:tc>
        <w:tc>
          <w:tcPr>
            <w:tcW w:type="dxa" w:w="406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jc w:val="left"/>
            </w:pPr>
            <w:r>
              <w:rPr>
                <w:b/>
                <w:bCs/>
                <w:sz w:val="19"/>
                <w:szCs w:val="19"/>
              </w:rPr>
              <w:t xml:space="preserve">Owner</w:t>
            </w:r>
          </w:p>
        </w:tc>
      </w:tr>
      <w:tr>
        <w:trPr>
          <w:tblHeader w:val="false"/>
        </w:trPr>
        <w:tc>
          <w:tcPr>
            <w:tcW w:type="dxa" w:w="1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19"/>
                <w:szCs w:val="19"/>
              </w:rPr>
              <w:t xml:space="preserve">1</w:t>
            </w:r>
          </w:p>
        </w:tc>
        <w:tc>
          <w:tcPr>
            <w:tcW w:type="dxa" w:w="4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19"/>
                <w:szCs w:val="19"/>
              </w:rPr>
              <w:t xml:space="preserve">A2A, no SLIM (mesh)</w:t>
            </w:r>
          </w:p>
        </w:tc>
        <w:tc>
          <w:tcPr>
            <w:tcW w:type="dxa" w:w="40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19"/>
                <w:szCs w:val="19"/>
              </w:rPr>
              <w:t xml:space="preserve">Saify (apply this spec)</w:t>
            </w:r>
          </w:p>
        </w:tc>
      </w:tr>
      <w:tr>
        <w:trPr>
          <w:tblHeader w:val="false"/>
        </w:trPr>
        <w:tc>
          <w:tcPr>
            <w:tcW w:type="dxa" w:w="1200"/>
            <w:tcBorders>
              <w:top w:val="single" w:color="BBBBBB" w:sz="1"/>
              <w:left w:val="single" w:color="BBBBBB" w:sz="1"/>
              <w:bottom w:val="single" w:color="BBBBBB" w:sz="1"/>
              <w:right w:val="single" w:color="BBBBBB" w:sz="1"/>
            </w:tcBorders>
            <w:shd w:fill="F2F5F8" w:val="clear"/>
            <w:tcMar>
              <w:top w:type="dxa" w:w="60"/>
              <w:left w:type="dxa" w:w="110"/>
              <w:bottom w:type="dxa" w:w="60"/>
              <w:right w:type="dxa" w:w="110"/>
            </w:tcMar>
          </w:tcPr>
          <w:p>
            <w:pPr>
              <w:jc w:val="left"/>
            </w:pPr>
            <w:r>
              <w:rPr>
                <w:b w:val="false"/>
                <w:bCs w:val="false"/>
                <w:sz w:val="19"/>
                <w:szCs w:val="19"/>
              </w:rPr>
              <w:t xml:space="preserve">2</w:t>
            </w:r>
          </w:p>
        </w:tc>
        <w:tc>
          <w:tcPr>
            <w:tcW w:type="dxa" w:w="4100"/>
            <w:tcBorders>
              <w:top w:val="single" w:color="BBBBBB" w:sz="1"/>
              <w:left w:val="single" w:color="BBBBBB" w:sz="1"/>
              <w:bottom w:val="single" w:color="BBBBBB" w:sz="1"/>
              <w:right w:val="single" w:color="BBBBBB" w:sz="1"/>
            </w:tcBorders>
            <w:shd w:fill="F2F5F8" w:val="clear"/>
            <w:tcMar>
              <w:top w:type="dxa" w:w="60"/>
              <w:left w:type="dxa" w:w="110"/>
              <w:bottom w:type="dxa" w:w="60"/>
              <w:right w:type="dxa" w:w="110"/>
            </w:tcMar>
          </w:tcPr>
          <w:p>
            <w:pPr>
              <w:jc w:val="left"/>
            </w:pPr>
            <w:r>
              <w:rPr>
                <w:b w:val="false"/>
                <w:bCs w:val="false"/>
                <w:sz w:val="19"/>
                <w:szCs w:val="19"/>
              </w:rPr>
              <w:t xml:space="preserve">A2A over SLIM</w:t>
            </w:r>
          </w:p>
        </w:tc>
        <w:tc>
          <w:tcPr>
            <w:tcW w:type="dxa" w:w="4060"/>
            <w:tcBorders>
              <w:top w:val="single" w:color="BBBBBB" w:sz="1"/>
              <w:left w:val="single" w:color="BBBBBB" w:sz="1"/>
              <w:bottom w:val="single" w:color="BBBBBB" w:sz="1"/>
              <w:right w:val="single" w:color="BBBBBB" w:sz="1"/>
            </w:tcBorders>
            <w:shd w:fill="F2F5F8" w:val="clear"/>
            <w:tcMar>
              <w:top w:type="dxa" w:w="60"/>
              <w:left w:type="dxa" w:w="110"/>
              <w:bottom w:type="dxa" w:w="60"/>
              <w:right w:type="dxa" w:w="110"/>
            </w:tcMar>
          </w:tcPr>
          <w:p>
            <w:pPr>
              <w:jc w:val="left"/>
            </w:pPr>
            <w:r>
              <w:rPr>
                <w:b w:val="false"/>
                <w:bCs w:val="false"/>
                <w:sz w:val="19"/>
                <w:szCs w:val="19"/>
              </w:rPr>
              <w:t xml:space="preserve">Saify (apply this spec)</w:t>
            </w:r>
          </w:p>
        </w:tc>
      </w:tr>
      <w:tr>
        <w:trPr>
          <w:tblHeader w:val="false"/>
        </w:trPr>
        <w:tc>
          <w:tcPr>
            <w:tcW w:type="dxa" w:w="1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19"/>
                <w:szCs w:val="19"/>
              </w:rPr>
              <w:t xml:space="preserve">3</w:t>
            </w:r>
          </w:p>
        </w:tc>
        <w:tc>
          <w:tcPr>
            <w:tcW w:type="dxa" w:w="4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19"/>
                <w:szCs w:val="19"/>
              </w:rPr>
              <w:t xml:space="preserve">HTTP, no SLIM (mesh)</w:t>
            </w:r>
          </w:p>
        </w:tc>
        <w:tc>
          <w:tcPr>
            <w:tcW w:type="dxa" w:w="40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19"/>
                <w:szCs w:val="19"/>
              </w:rPr>
              <w:t xml:space="preserve">Reference (this spec)</w:t>
            </w:r>
          </w:p>
        </w:tc>
      </w:tr>
      <w:tr>
        <w:trPr>
          <w:tblHeader w:val="false"/>
        </w:trPr>
        <w:tc>
          <w:tcPr>
            <w:tcW w:type="dxa" w:w="1200"/>
            <w:tcBorders>
              <w:top w:val="single" w:color="BBBBBB" w:sz="1"/>
              <w:left w:val="single" w:color="BBBBBB" w:sz="1"/>
              <w:bottom w:val="single" w:color="BBBBBB" w:sz="1"/>
              <w:right w:val="single" w:color="BBBBBB" w:sz="1"/>
            </w:tcBorders>
            <w:shd w:fill="F2F5F8" w:val="clear"/>
            <w:tcMar>
              <w:top w:type="dxa" w:w="60"/>
              <w:left w:type="dxa" w:w="110"/>
              <w:bottom w:type="dxa" w:w="60"/>
              <w:right w:type="dxa" w:w="110"/>
            </w:tcMar>
          </w:tcPr>
          <w:p>
            <w:pPr>
              <w:jc w:val="left"/>
            </w:pPr>
            <w:r>
              <w:rPr>
                <w:b w:val="false"/>
                <w:bCs w:val="false"/>
                <w:sz w:val="19"/>
                <w:szCs w:val="19"/>
              </w:rPr>
              <w:t xml:space="preserve">4</w:t>
            </w:r>
          </w:p>
        </w:tc>
        <w:tc>
          <w:tcPr>
            <w:tcW w:type="dxa" w:w="4100"/>
            <w:tcBorders>
              <w:top w:val="single" w:color="BBBBBB" w:sz="1"/>
              <w:left w:val="single" w:color="BBBBBB" w:sz="1"/>
              <w:bottom w:val="single" w:color="BBBBBB" w:sz="1"/>
              <w:right w:val="single" w:color="BBBBBB" w:sz="1"/>
            </w:tcBorders>
            <w:shd w:fill="F2F5F8" w:val="clear"/>
            <w:tcMar>
              <w:top w:type="dxa" w:w="60"/>
              <w:left w:type="dxa" w:w="110"/>
              <w:bottom w:type="dxa" w:w="60"/>
              <w:right w:type="dxa" w:w="110"/>
            </w:tcMar>
          </w:tcPr>
          <w:p>
            <w:pPr>
              <w:jc w:val="left"/>
            </w:pPr>
            <w:r>
              <w:rPr>
                <w:b w:val="false"/>
                <w:bCs w:val="false"/>
                <w:sz w:val="19"/>
                <w:szCs w:val="19"/>
              </w:rPr>
              <w:t xml:space="preserve">HTTP over SLIM</w:t>
            </w:r>
          </w:p>
        </w:tc>
        <w:tc>
          <w:tcPr>
            <w:tcW w:type="dxa" w:w="4060"/>
            <w:tcBorders>
              <w:top w:val="single" w:color="BBBBBB" w:sz="1"/>
              <w:left w:val="single" w:color="BBBBBB" w:sz="1"/>
              <w:bottom w:val="single" w:color="BBBBBB" w:sz="1"/>
              <w:right w:val="single" w:color="BBBBBB" w:sz="1"/>
            </w:tcBorders>
            <w:shd w:fill="F2F5F8" w:val="clear"/>
            <w:tcMar>
              <w:top w:type="dxa" w:w="60"/>
              <w:left w:type="dxa" w:w="110"/>
              <w:bottom w:type="dxa" w:w="60"/>
              <w:right w:type="dxa" w:w="110"/>
            </w:tcMar>
          </w:tcPr>
          <w:p>
            <w:pPr>
              <w:jc w:val="left"/>
            </w:pPr>
            <w:r>
              <w:rPr>
                <w:b w:val="false"/>
                <w:bCs w:val="false"/>
                <w:sz w:val="19"/>
                <w:szCs w:val="19"/>
              </w:rPr>
              <w:t xml:space="preserve">Reference (this spec)</w:t>
            </w:r>
          </w:p>
        </w:tc>
      </w:tr>
    </w:tbl>
    <w:p>
      <w:pPr>
        <w:pStyle w:val="Heading1"/>
      </w:pPr>
      <w:r>
        <w:t xml:space="preserve">2. Topology</w:t>
      </w:r>
    </w:p>
    <w:p>
      <w:pPr>
        <w:pStyle w:val="ListParagraph"/>
        <w:numPr>
          <w:ilvl w:val="0"/>
          <w:numId w:val="2"/>
        </w:numPr>
        <w:spacing w:after="60"/>
      </w:pPr>
      <w:r>
        <w:rPr>
          <w:sz w:val="22"/>
          <w:szCs w:val="22"/>
        </w:rPr>
        <w:t xml:space="preserve">Each agent runs in its own operating-system process, one identity per process.</w:t>
      </w:r>
    </w:p>
    <w:p>
      <w:pPr>
        <w:pStyle w:val="ListParagraph"/>
        <w:numPr>
          <w:ilvl w:val="0"/>
          <w:numId w:val="2"/>
        </w:numPr>
        <w:spacing w:after="60"/>
      </w:pPr>
      <w:r>
        <w:rPr>
          <w:sz w:val="22"/>
          <w:szCs w:val="22"/>
        </w:rPr>
        <w:t xml:space="preserve">All agents run on a single machine for now. This is acknowledged to be OS-scheduled rather than truly parallel: agents on the same core share CPU time, so only as many agents as there are cores run at one instant. This is acceptable as long as the same setup is used for every cell. A later run with agents on separate compute instances or cloud pods would be the real-life setup.</w:t>
      </w:r>
    </w:p>
    <w:p>
      <w:pPr>
        <w:pStyle w:val="ListParagraph"/>
        <w:numPr>
          <w:ilvl w:val="0"/>
          <w:numId w:val="2"/>
        </w:numPr>
        <w:spacing w:after="60"/>
      </w:pPr>
      <w:r>
        <w:rPr>
          <w:sz w:val="22"/>
          <w:szCs w:val="22"/>
        </w:rPr>
        <w:t xml:space="preserve">Full mesh: every agent exchanges with every other agent. For N agents there are N x (N-1) directed pairs per round.</w:t>
      </w:r>
    </w:p>
    <w:p>
      <w:pPr>
        <w:pStyle w:val="Heading1"/>
      </w:pPr>
      <w:r>
        <w:t xml:space="preserve">3. Agent</w:t>
      </w:r>
    </w:p>
    <w:p>
      <w:pPr>
        <w:pStyle w:val="ListParagraph"/>
        <w:numPr>
          <w:ilvl w:val="0"/>
          <w:numId w:val="2"/>
        </w:numPr>
        <w:spacing w:after="60"/>
      </w:pPr>
      <w:r>
        <w:rPr>
          <w:sz w:val="22"/>
          <w:szCs w:val="22"/>
        </w:rPr>
        <w:t xml:space="preserve">Use a trivial echo agent (no LLM, no semantic negotiation) so the measurement reflects transport only.</w:t>
      </w:r>
    </w:p>
    <w:p>
      <w:pPr>
        <w:pStyle w:val="ListParagraph"/>
        <w:numPr>
          <w:ilvl w:val="0"/>
          <w:numId w:val="2"/>
        </w:numPr>
        <w:spacing w:after="60"/>
      </w:pPr>
      <w:r>
        <w:rPr>
          <w:sz w:val="22"/>
          <w:szCs w:val="22"/>
        </w:rPr>
        <w:t xml:space="preserve">Each agent acts as both server (answers peers) and client (sends to peers).</w:t>
      </w:r>
    </w:p>
    <w:p>
      <w:pPr>
        <w:pStyle w:val="Heading1"/>
      </w:pPr>
      <w:r>
        <w:t xml:space="preserve">4. Measurement unit</w:t>
      </w:r>
    </w:p>
    <w:p>
      <w:pPr>
        <w:pStyle w:val="ListParagraph"/>
        <w:numPr>
          <w:ilvl w:val="0"/>
          <w:numId w:val="2"/>
        </w:numPr>
        <w:spacing w:after="60"/>
      </w:pPr>
      <w:r>
        <w:rPr>
          <w:sz w:val="22"/>
          <w:szCs w:val="22"/>
        </w:rPr>
        <w:t xml:space="preserve">One measured unit is a full request to response round trip: send a request to a peer and wait for its reply.</w:t>
      </w:r>
    </w:p>
    <w:p>
      <w:pPr>
        <w:pStyle w:val="ListParagraph"/>
        <w:numPr>
          <w:ilvl w:val="0"/>
          <w:numId w:val="2"/>
        </w:numPr>
        <w:spacing w:after="60"/>
      </w:pPr>
      <w:r>
        <w:rPr>
          <w:sz w:val="22"/>
          <w:szCs w:val="22"/>
        </w:rPr>
        <w:t xml:space="preserve">Sessions and connections are opened once in a warm phase; the timer measures only the send/receive path, not setup.</w:t>
      </w:r>
    </w:p>
    <w:p>
      <w:pPr>
        <w:pStyle w:val="ListParagraph"/>
        <w:numPr>
          <w:ilvl w:val="0"/>
          <w:numId w:val="2"/>
        </w:numPr>
        <w:spacing w:after="60"/>
      </w:pPr>
      <w:r>
        <w:rPr>
          <w:sz w:val="22"/>
          <w:szCs w:val="22"/>
        </w:rPr>
        <w:t xml:space="preserve">Record per-message latency (mean, p95, p99) and the wall time per round.</w:t>
      </w:r>
    </w:p>
    <w:p>
      <w:pPr>
        <w:pStyle w:val="Heading1"/>
      </w:pPr>
      <w:r>
        <w:t xml:space="preserve">5. Execution modes and sweep</w:t>
      </w:r>
    </w:p>
    <w:p>
      <w:pPr>
        <w:spacing w:after="120"/>
      </w:pPr>
      <w:r>
        <w:rPr>
          <w:sz w:val="22"/>
          <w:szCs w:val="22"/>
        </w:rPr>
        <w:t xml:space="preserve">Run every configuration in three modes and sweep agent count and payload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jc w:val="left"/>
            </w:pPr>
            <w:r>
              <w:rPr>
                <w:b/>
                <w:bCs/>
                <w:sz w:val="19"/>
                <w:szCs w:val="19"/>
              </w:rPr>
              <w:t xml:space="preserve">Parameter</w:t>
            </w:r>
          </w:p>
        </w:tc>
        <w:tc>
          <w:tcPr>
            <w:tcW w:type="dxa" w:w="624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jc w:val="left"/>
            </w:pPr>
            <w:r>
              <w:rPr>
                <w:b/>
                <w:bCs/>
                <w:sz w:val="19"/>
                <w:szCs w:val="19"/>
              </w:rPr>
              <w:t xml:space="preserve">Value</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19"/>
                <w:szCs w:val="19"/>
              </w:rPr>
              <w:t xml:space="preserve">Agent counts</w:t>
            </w:r>
          </w:p>
        </w:tc>
        <w:tc>
          <w:tcPr>
            <w:tcW w:type="dxa" w:w="62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19"/>
                <w:szCs w:val="19"/>
              </w:rPr>
              <w:t xml:space="preserve">5, 10, 15, 20, ... (extend toward 100 as resources allow)</w:t>
            </w:r>
          </w:p>
        </w:tc>
      </w:tr>
      <w:tr>
        <w:trPr>
          <w:tblHeader w:val="false"/>
        </w:trPr>
        <w:tc>
          <w:tcPr>
            <w:tcW w:type="dxa" w:w="3120"/>
            <w:tcBorders>
              <w:top w:val="single" w:color="BBBBBB" w:sz="1"/>
              <w:left w:val="single" w:color="BBBBBB" w:sz="1"/>
              <w:bottom w:val="single" w:color="BBBBBB" w:sz="1"/>
              <w:right w:val="single" w:color="BBBBBB" w:sz="1"/>
            </w:tcBorders>
            <w:shd w:fill="F2F5F8" w:val="clear"/>
            <w:tcMar>
              <w:top w:type="dxa" w:w="60"/>
              <w:left w:type="dxa" w:w="110"/>
              <w:bottom w:type="dxa" w:w="60"/>
              <w:right w:type="dxa" w:w="110"/>
            </w:tcMar>
          </w:tcPr>
          <w:p>
            <w:pPr>
              <w:jc w:val="left"/>
            </w:pPr>
            <w:r>
              <w:rPr>
                <w:b w:val="false"/>
                <w:bCs w:val="false"/>
                <w:sz w:val="19"/>
                <w:szCs w:val="19"/>
              </w:rPr>
              <w:t xml:space="preserve">Payload sizes</w:t>
            </w:r>
          </w:p>
        </w:tc>
        <w:tc>
          <w:tcPr>
            <w:tcW w:type="dxa" w:w="6240"/>
            <w:tcBorders>
              <w:top w:val="single" w:color="BBBBBB" w:sz="1"/>
              <w:left w:val="single" w:color="BBBBBB" w:sz="1"/>
              <w:bottom w:val="single" w:color="BBBBBB" w:sz="1"/>
              <w:right w:val="single" w:color="BBBBBB" w:sz="1"/>
            </w:tcBorders>
            <w:shd w:fill="F2F5F8" w:val="clear"/>
            <w:tcMar>
              <w:top w:type="dxa" w:w="60"/>
              <w:left w:type="dxa" w:w="110"/>
              <w:bottom w:type="dxa" w:w="60"/>
              <w:right w:type="dxa" w:w="110"/>
            </w:tcMar>
          </w:tcPr>
          <w:p>
            <w:pPr>
              <w:jc w:val="left"/>
            </w:pPr>
            <w:r>
              <w:rPr>
                <w:b w:val="false"/>
                <w:bCs w:val="false"/>
                <w:sz w:val="19"/>
                <w:szCs w:val="19"/>
              </w:rPr>
              <w:t xml:space="preserve">64 and 512 bytes</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19"/>
                <w:szCs w:val="19"/>
              </w:rPr>
              <w:t xml:space="preserve">Rounds per config</w:t>
            </w:r>
          </w:p>
        </w:tc>
        <w:tc>
          <w:tcPr>
            <w:tcW w:type="dxa" w:w="62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19"/>
                <w:szCs w:val="19"/>
              </w:rPr>
              <w:t xml:space="preserve">3 (pool for stable percentiles)</w:t>
            </w:r>
          </w:p>
        </w:tc>
      </w:tr>
      <w:tr>
        <w:trPr>
          <w:tblHeader w:val="false"/>
        </w:trPr>
        <w:tc>
          <w:tcPr>
            <w:tcW w:type="dxa" w:w="3120"/>
            <w:tcBorders>
              <w:top w:val="single" w:color="BBBBBB" w:sz="1"/>
              <w:left w:val="single" w:color="BBBBBB" w:sz="1"/>
              <w:bottom w:val="single" w:color="BBBBBB" w:sz="1"/>
              <w:right w:val="single" w:color="BBBBBB" w:sz="1"/>
            </w:tcBorders>
            <w:shd w:fill="F2F5F8" w:val="clear"/>
            <w:tcMar>
              <w:top w:type="dxa" w:w="60"/>
              <w:left w:type="dxa" w:w="110"/>
              <w:bottom w:type="dxa" w:w="60"/>
              <w:right w:type="dxa" w:w="110"/>
            </w:tcMar>
          </w:tcPr>
          <w:p>
            <w:pPr>
              <w:jc w:val="left"/>
            </w:pPr>
            <w:r>
              <w:rPr>
                <w:b w:val="false"/>
                <w:bCs w:val="false"/>
                <w:sz w:val="19"/>
                <w:szCs w:val="19"/>
              </w:rPr>
              <w:t xml:space="preserve">Modes</w:t>
            </w:r>
          </w:p>
        </w:tc>
        <w:tc>
          <w:tcPr>
            <w:tcW w:type="dxa" w:w="6240"/>
            <w:tcBorders>
              <w:top w:val="single" w:color="BBBBBB" w:sz="1"/>
              <w:left w:val="single" w:color="BBBBBB" w:sz="1"/>
              <w:bottom w:val="single" w:color="BBBBBB" w:sz="1"/>
              <w:right w:val="single" w:color="BBBBBB" w:sz="1"/>
            </w:tcBorders>
            <w:shd w:fill="F2F5F8" w:val="clear"/>
            <w:tcMar>
              <w:top w:type="dxa" w:w="60"/>
              <w:left w:type="dxa" w:w="110"/>
              <w:bottom w:type="dxa" w:w="60"/>
              <w:right w:type="dxa" w:w="110"/>
            </w:tcMar>
          </w:tcPr>
          <w:p>
            <w:pPr>
              <w:jc w:val="left"/>
            </w:pPr>
            <w:r>
              <w:rPr>
                <w:b w:val="false"/>
                <w:bCs w:val="false"/>
                <w:sz w:val="19"/>
                <w:szCs w:val="19"/>
              </w:rPr>
              <w:t xml:space="preserve">sequential, concurrent, parallel (process per agent)</w:t>
            </w:r>
          </w:p>
        </w:tc>
      </w:tr>
    </w:tbl>
    <w:p>
      <w:pPr>
        <w:pStyle w:val="Heading1"/>
      </w:pPr>
      <w:r>
        <w:t xml:space="preserve">6. Pass criterion</w:t>
      </w:r>
    </w:p>
    <w:p>
      <w:pPr>
        <w:pStyle w:val="ListParagraph"/>
        <w:numPr>
          <w:ilvl w:val="0"/>
          <w:numId w:val="2"/>
        </w:numPr>
        <w:spacing w:after="60"/>
      </w:pPr>
      <w:r>
        <w:rPr>
          <w:sz w:val="22"/>
          <w:szCs w:val="22"/>
        </w:rPr>
        <w:t xml:space="preserve">Receivers count messages and the total is reconciled exactly against messages sent.</w:t>
      </w:r>
    </w:p>
    <w:p>
      <w:pPr>
        <w:pStyle w:val="ListParagraph"/>
        <w:numPr>
          <w:ilvl w:val="0"/>
          <w:numId w:val="2"/>
        </w:numPr>
        <w:spacing w:after="60"/>
      </w:pPr>
      <w:r>
        <w:rPr>
          <w:sz w:val="22"/>
          <w:szCs w:val="22"/>
        </w:rPr>
        <w:t xml:space="preserve">A run is valid only at 100 percent delivery (sent equals received, zero loss).</w:t>
      </w:r>
    </w:p>
    <w:p>
      <w:pPr>
        <w:pStyle w:val="Heading1"/>
      </w:pPr>
      <w:r>
        <w:t xml:space="preserve">7. Environment to record</w:t>
      </w:r>
    </w:p>
    <w:p>
      <w:pPr>
        <w:pStyle w:val="ListParagraph"/>
        <w:numPr>
          <w:ilvl w:val="0"/>
          <w:numId w:val="2"/>
        </w:numPr>
        <w:spacing w:after="60"/>
      </w:pPr>
      <w:r>
        <w:rPr>
          <w:sz w:val="22"/>
          <w:szCs w:val="22"/>
        </w:rPr>
        <w:t xml:space="preserve">Machine: CPU core count and memory (this affects the parallel ceiling).</w:t>
      </w:r>
    </w:p>
    <w:p>
      <w:pPr>
        <w:pStyle w:val="ListParagraph"/>
        <w:numPr>
          <w:ilvl w:val="0"/>
          <w:numId w:val="2"/>
        </w:numPr>
        <w:spacing w:after="60"/>
      </w:pPr>
      <w:r>
        <w:rPr>
          <w:sz w:val="22"/>
          <w:szCs w:val="22"/>
        </w:rPr>
        <w:t xml:space="preserve">Node image and version, and the client library versions, pinned to the project lockfile.</w:t>
      </w:r>
    </w:p>
    <w:p>
      <w:pPr>
        <w:pStyle w:val="ListParagraph"/>
        <w:numPr>
          <w:ilvl w:val="0"/>
          <w:numId w:val="2"/>
        </w:numPr>
        <w:spacing w:after="60"/>
      </w:pPr>
      <w:r>
        <w:rPr>
          <w:sz w:val="22"/>
          <w:szCs w:val="22"/>
        </w:rPr>
        <w:t xml:space="preserve">Note that all runs are loopback on one machine, so latencies are a lower bound.</w:t>
      </w:r>
    </w:p>
    <w:p>
      <w:pPr>
        <w:pStyle w:val="Heading1"/>
      </w:pPr>
      <w:r>
        <w:t xml:space="preserve">8. Outputs</w:t>
      </w:r>
    </w:p>
    <w:p>
      <w:pPr>
        <w:pStyle w:val="ListParagraph"/>
        <w:numPr>
          <w:ilvl w:val="0"/>
          <w:numId w:val="2"/>
        </w:numPr>
        <w:spacing w:after="60"/>
      </w:pPr>
      <w:r>
        <w:rPr>
          <w:sz w:val="22"/>
          <w:szCs w:val="22"/>
        </w:rPr>
        <w:t xml:space="preserve">A JSON evidence file per cell with the full sweep (sent, received, mean, p95, p99, wall time).</w:t>
      </w:r>
    </w:p>
    <w:p>
      <w:pPr>
        <w:pStyle w:val="ListParagraph"/>
        <w:numPr>
          <w:ilvl w:val="0"/>
          <w:numId w:val="2"/>
        </w:numPr>
        <w:spacing w:after="60"/>
      </w:pPr>
      <w:r>
        <w:rPr>
          <w:sz w:val="22"/>
          <w:szCs w:val="22"/>
        </w:rPr>
        <w:t xml:space="preserve">A short results table per cell, and the with-vs-without-SLIM comparison.</w:t>
      </w:r>
    </w:p>
    <w:p>
      <w:pPr>
        <w:pStyle w:val="ListParagraph"/>
        <w:numPr>
          <w:ilvl w:val="0"/>
          <w:numId w:val="2"/>
        </w:numPr>
        <w:spacing w:after="60"/>
      </w:pPr>
      <w:r>
        <w:rPr>
          <w:sz w:val="22"/>
          <w:szCs w:val="22"/>
        </w:rPr>
        <w:t xml:space="preserve">Resource notes: node CPU and memory, client CPU and memory, and the observed bottleneck.</w:t>
      </w:r>
    </w:p>
    <w:p>
      <w:pPr>
        <w:pStyle w:val="Heading1"/>
      </w:pPr>
      <w:r>
        <w:t xml:space="preserve">9. Reference implementation</w:t>
      </w:r>
    </w:p>
    <w:p>
      <w:pPr>
        <w:pStyle w:val="ListParagraph"/>
        <w:numPr>
          <w:ilvl w:val="0"/>
          <w:numId w:val="2"/>
        </w:numPr>
        <w:spacing w:after="60"/>
      </w:pPr>
      <w:r>
        <w:rPr>
          <w:sz w:val="22"/>
          <w:szCs w:val="22"/>
        </w:rPr>
        <w:t xml:space="preserve">HTTP cells: http_mesh_benchmark.py (cell 3) and http_slim_mesh_benchmark.py (cell 4).</w:t>
      </w:r>
    </w:p>
    <w:p>
      <w:pPr>
        <w:pStyle w:val="ListParagraph"/>
        <w:numPr>
          <w:ilvl w:val="0"/>
          <w:numId w:val="2"/>
        </w:numPr>
        <w:spacing w:after="60"/>
      </w:pPr>
      <w:r>
        <w:rPr>
          <w:sz w:val="22"/>
          <w:szCs w:val="22"/>
        </w:rPr>
        <w:t xml:space="preserve">A2A cells, already built to this spec for reference: a2a_http_mesh_benchmark.py (cell 1) and a2a_slim_mesh_benchmark.py (cell 2).</w:t>
      </w:r>
    </w:p>
    <w:p>
      <w:pPr>
        <w:pStyle w:val="ListParagraph"/>
        <w:numPr>
          <w:ilvl w:val="0"/>
          <w:numId w:val="2"/>
        </w:numPr>
        <w:spacing w:after="60"/>
      </w:pPr>
      <w:r>
        <w:rPr>
          <w:sz w:val="22"/>
          <w:szCs w:val="22"/>
        </w:rPr>
        <w:t xml:space="preserve">Repository slim-benchmarks, branch feat/full-mesh-scale-bench. Saify should apply the same topology, agent, measurement unit, modes and pass criterion to the A2A cells.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Benchmark Methodology Specification — </w:t>
    </w:r>
    <w:r>
      <w:rPr>
        <w:color w:val="888888"/>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2026-06-30T21:38:14.378Z</dcterms:created>
  <dcterms:modified xsi:type="dcterms:W3CDTF">2026-06-30T21:38:14.383Z</dcterms:modified>
</cp:coreProperties>
</file>

<file path=docProps/custom.xml><?xml version="1.0" encoding="utf-8"?>
<Properties xmlns="http://schemas.openxmlformats.org/officeDocument/2006/custom-properties" xmlns:vt="http://schemas.openxmlformats.org/officeDocument/2006/docPropsVTypes"/>
</file>