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MAINTENANCE PROCEDURE: MK-4 Guidance Computer</w:t>
      </w:r>
    </w:p>
    <w:p>
      <w:r>
        <w:t xml:space="preserve">NSN: 1410-01-234-5678</w:t>
      </w:r>
    </w:p>
    <w:p>
      <w:r>
        <w:t xml:space="preserve">Part Number: GC-4521-A  CAGE: 12345</w:t>
      </w:r>
    </w:p>
    <w:p>
      <w:r>
        <w:t xml:space="preserve">Reference: MIL-STD-1553B data bus specification</w:t>
      </w:r>
    </w:p>
    <w:p>
      <w:r>
        <w:t xml:space="preserve">The Patriot PAC-3 system integrates the THAAD terminal defense capability.</w:t>
      </w:r>
    </w:p>
    <w:p>
      <w:r>
        <w:t xml:space="preserve">Applicable standard: MIL-PRF-38535 (microcircuits).</w:t>
      </w:r>
    </w:p>
    <w:p>
      <w:r>
        <w:t xml:space="preserve">Specifications: Operating voltage 28 VDC, weight 2.3 kg.</w:t>
      </w:r>
    </w:p>
  </w:body>
</w:document>
</file>

<file path=word/_rels/document.xml.rels><?xml version="1.0" encoding="UTF-8"?><Relationships xmlns="http://schemas.openxmlformats.org/package/2006/relationships"/>
</file>