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center"/>
        <w:rPr>
          <w:rFonts w:ascii="Castellar" w:hAnsi="Castellar"/>
          <w:b/>
          <w:bCs/>
          <w:sz w:val="40"/>
          <w:szCs w:val="40"/>
        </w:rPr>
      </w:pPr>
      <w:r>
        <w:rPr>
          <w:rFonts w:ascii="Castellar" w:hAnsi="Castellar"/>
          <w:b/>
          <w:bCs/>
          <w:sz w:val="40"/>
          <w:szCs w:val="40"/>
        </w:rPr>
        <w:t>EU POLICY DOSSIER</w:t>
      </w:r>
    </w:p>
    <w:p>
      <w:pPr>
        <w:pStyle w:val="Normal"/>
        <w:bidi w:val="0"/>
        <w:jc w:val="start"/>
        <w:rPr/>
      </w:pPr>
      <w:r>
        <w:rPr>
          <w:rFonts w:ascii="Times New Roman" w:hAnsi="Times New Roman"/>
        </w:rPr>
        <w:br/>
      </w:r>
      <w:r>
        <w:rPr>
          <w:rFonts w:ascii="Times New Roman" w:hAnsi="Times New Roman"/>
          <w:b/>
          <w:bCs/>
        </w:rPr>
        <w:t>Date:</w:t>
      </w:r>
      <w:r>
        <w:rPr>
          <w:rFonts w:ascii="Times New Roman" w:hAnsi="Times New Roman"/>
        </w:rPr>
        <w:t xml:space="preserve"> 1</w:t>
      </w:r>
      <w:r>
        <w:rPr>
          <w:rFonts w:ascii="Times New Roman" w:hAnsi="Times New Roman"/>
          <w:vertAlign w:val="superscript"/>
        </w:rPr>
        <w:t>st</w:t>
      </w:r>
      <w:r>
        <w:rPr>
          <w:rFonts w:ascii="Times New Roman" w:hAnsi="Times New Roman"/>
        </w:rPr>
        <w:t xml:space="preserve"> May 2026 </w:t>
      </w:r>
    </w:p>
    <w:p>
      <w:pPr>
        <w:pStyle w:val="Normal"/>
        <w:bidi w:val="0"/>
        <w:jc w:val="start"/>
        <w:rPr/>
      </w:pPr>
      <w:r>
        <w:rPr>
          <w:rFonts w:ascii="Times New Roman" w:hAnsi="Times New Roman"/>
          <w:b/>
          <w:bCs/>
        </w:rPr>
        <w:t>Subject:</w:t>
      </w:r>
      <w:r>
        <w:rPr>
          <w:rFonts w:ascii="Times New Roman" w:hAnsi="Times New Roman"/>
        </w:rPr>
        <w:t xml:space="preserve"> </w:t>
      </w:r>
      <w:r>
        <w:rPr>
          <w:rFonts w:ascii="Times New Roman" w:hAnsi="Times New Roman"/>
        </w:rPr>
        <w:t>Lawful and Peaceful Transition Framework for Iran</w:t>
        <w:br/>
      </w:r>
      <w:r>
        <w:rPr>
          <w:rFonts w:ascii="Times New Roman" w:hAnsi="Times New Roman"/>
          <w:b/>
          <w:bCs/>
        </w:rPr>
        <w:t>From:</w:t>
      </w:r>
      <w:r>
        <w:rPr>
          <w:rFonts w:ascii="Times New Roman" w:hAnsi="Times New Roman"/>
        </w:rPr>
        <w:t xml:space="preserve"> Iranian International Lawyers Association (IILA) </w:t>
      </w:r>
      <w:r>
        <w:rPr>
          <w:rFonts w:ascii="Times New Roman" w:hAnsi="Times New Roman"/>
          <w:sz w:val="20"/>
          <w:szCs w:val="20"/>
        </w:rPr>
        <w:t xml:space="preserve">(SWITZERLAND) </w:t>
      </w:r>
      <w:r>
        <w:rPr>
          <w:rFonts w:ascii="Times New Roman" w:hAnsi="Times New Roman"/>
          <w:sz w:val="20"/>
          <w:szCs w:val="20"/>
        </w:rPr>
        <w:t>,</w:t>
      </w:r>
      <w:r>
        <w:rPr>
          <w:rFonts w:ascii="Times New Roman" w:hAnsi="Times New Roman"/>
        </w:rPr>
        <w:t xml:space="preserve"> IAILPA </w:t>
      </w:r>
      <w:r>
        <w:rPr>
          <w:rFonts w:ascii="Times New Roman" w:hAnsi="Times New Roman"/>
          <w:sz w:val="20"/>
          <w:szCs w:val="20"/>
        </w:rPr>
        <w:t xml:space="preserve">(UK), </w:t>
      </w:r>
      <w:r>
        <w:rPr>
          <w:rFonts w:ascii="Times New Roman" w:hAnsi="Times New Roman"/>
          <w:sz w:val="20"/>
          <w:szCs w:val="20"/>
        </w:rPr>
        <w:t>HUMANINCHAIN FOUNDATION (G</w:t>
      </w:r>
      <w:r>
        <w:rPr>
          <w:rFonts w:ascii="Times New Roman" w:hAnsi="Times New Roman"/>
          <w:sz w:val="20"/>
          <w:szCs w:val="20"/>
        </w:rPr>
        <w:t>ERMANY</w:t>
      </w:r>
      <w:r>
        <w:rPr>
          <w:rFonts w:ascii="Times New Roman" w:hAnsi="Times New Roman"/>
          <w:sz w:val="20"/>
          <w:szCs w:val="20"/>
        </w:rPr>
        <w:t xml:space="preserve">) </w:t>
      </w:r>
    </w:p>
    <w:p>
      <w:pPr>
        <w:pStyle w:val="Normal"/>
        <w:bidi w:val="0"/>
        <w:jc w:val="start"/>
        <w:rPr/>
      </w:pPr>
      <w:r>
        <w:rPr>
          <w:rFonts w:ascii="Times New Roman" w:hAnsi="Times New Roman"/>
          <w:b/>
          <w:bCs/>
          <w:sz w:val="20"/>
          <w:szCs w:val="20"/>
        </w:rPr>
        <w:t>To:</w:t>
      </w:r>
      <w:r>
        <w:rPr>
          <w:rFonts w:ascii="Times New Roman" w:hAnsi="Times New Roman"/>
          <w:sz w:val="20"/>
          <w:szCs w:val="20"/>
        </w:rPr>
        <w:t xml:space="preserve"> </w:t>
      </w:r>
      <w:r>
        <w:rPr>
          <w:rStyle w:val="Strong"/>
          <w:rFonts w:ascii="Times New Roman" w:hAnsi="Times New Roman"/>
          <w:b w:val="false"/>
          <w:bCs w:val="false"/>
          <w:i w:val="false"/>
          <w:iCs w:val="false"/>
          <w:sz w:val="22"/>
          <w:szCs w:val="22"/>
        </w:rPr>
        <w:t>The Chair and Members of the Committee on Foreign Affairs- AFET</w:t>
      </w:r>
      <w:r>
        <w:rPr>
          <w:rFonts w:ascii="Times New Roman" w:hAnsi="Times New Roman"/>
          <w:b w:val="false"/>
          <w:bCs w:val="false"/>
          <w:sz w:val="20"/>
          <w:szCs w:val="20"/>
        </w:rPr>
        <w:br/>
      </w:r>
      <w:r>
        <w:rPr>
          <w:rStyle w:val="Strong"/>
          <w:rFonts w:ascii="Times New Roman" w:hAnsi="Times New Roman"/>
          <w:b w:val="false"/>
          <w:bCs w:val="false"/>
          <w:sz w:val="20"/>
          <w:szCs w:val="20"/>
        </w:rPr>
        <w:t>European Parliament</w:t>
      </w:r>
      <w:r>
        <w:rPr>
          <w:rFonts w:ascii="Times New Roman" w:hAnsi="Times New Roman"/>
          <w:sz w:val="20"/>
          <w:szCs w:val="20"/>
        </w:rPr>
        <w:br/>
        <w:t xml:space="preserve">Brussels, Belgium </w:t>
      </w:r>
    </w:p>
    <w:p>
      <w:pPr>
        <w:pStyle w:val="Normal"/>
        <w:bidi w:val="0"/>
        <w:jc w:val="start"/>
        <w:rPr/>
      </w:pPr>
      <w:r>
        <w:rPr>
          <w:rFonts w:ascii="Times New Roman" w:hAnsi="Times New Roman"/>
          <w:b/>
          <w:bCs/>
          <w:sz w:val="20"/>
          <w:szCs w:val="20"/>
        </w:rPr>
        <w:t>Copy:</w:t>
      </w:r>
      <w:r>
        <w:rPr>
          <w:rFonts w:ascii="Times New Roman" w:hAnsi="Times New Roman"/>
          <w:sz w:val="20"/>
          <w:szCs w:val="20"/>
        </w:rPr>
        <w:t xml:space="preserve"> </w:t>
      </w:r>
    </w:p>
    <w:p>
      <w:pPr>
        <w:pStyle w:val="Normal"/>
        <w:bidi w:val="0"/>
        <w:jc w:val="start"/>
        <w:rPr>
          <w:rFonts w:ascii="Times New Roman" w:hAnsi="Times New Roman"/>
          <w:sz w:val="20"/>
          <w:szCs w:val="20"/>
        </w:rPr>
      </w:pPr>
      <w:r>
        <w:rPr>
          <w:rFonts w:ascii="Times New Roman" w:hAnsi="Times New Roman"/>
          <w:sz w:val="20"/>
          <w:szCs w:val="20"/>
        </w:rPr>
        <w:t xml:space="preserve">The Chair and Members of the Subcommittee on Human Rights- DROI </w:t>
      </w:r>
    </w:p>
    <w:p>
      <w:pPr>
        <w:pStyle w:val="Normal"/>
        <w:bidi w:val="0"/>
        <w:jc w:val="start"/>
        <w:rPr>
          <w:rFonts w:ascii="Times New Roman" w:hAnsi="Times New Roman"/>
          <w:sz w:val="20"/>
          <w:szCs w:val="20"/>
        </w:rPr>
      </w:pPr>
      <w:r>
        <w:rPr>
          <w:rFonts w:ascii="Times New Roman" w:hAnsi="Times New Roman"/>
          <w:sz w:val="20"/>
          <w:szCs w:val="20"/>
        </w:rPr>
        <w:t xml:space="preserve">The Chair and Members of the Delegation for relations with Iran - D-IR </w:t>
      </w:r>
    </w:p>
    <w:p>
      <w:pPr>
        <w:pStyle w:val="Normal"/>
        <w:bidi w:val="0"/>
        <w:jc w:val="start"/>
        <w:rPr>
          <w:rFonts w:ascii="Times New Roman" w:hAnsi="Times New Roman"/>
          <w:sz w:val="20"/>
          <w:szCs w:val="20"/>
        </w:rPr>
      </w:pPr>
      <w:r>
        <w:rPr>
          <w:rFonts w:ascii="Times New Roman" w:hAnsi="Times New Roman"/>
          <w:sz w:val="20"/>
          <w:szCs w:val="20"/>
        </w:rPr>
        <w:t xml:space="preserve">The President of the European Parliament </w:t>
      </w:r>
    </w:p>
    <w:p>
      <w:pPr>
        <w:pStyle w:val="Normal"/>
        <w:bidi w:val="0"/>
        <w:jc w:val="start"/>
        <w:rPr>
          <w:rFonts w:ascii="Times New Roman" w:hAnsi="Times New Roman"/>
          <w:sz w:val="20"/>
          <w:szCs w:val="20"/>
        </w:rPr>
      </w:pPr>
      <w:r>
        <w:rPr>
          <w:rFonts w:ascii="Times New Roman" w:hAnsi="Times New Roman"/>
          <w:sz w:val="20"/>
          <w:szCs w:val="20"/>
        </w:rPr>
        <w:t>European External Action Service - EEAS, Iran Division / Middle East and North Africa Department</w:t>
      </w:r>
    </w:p>
    <w:p>
      <w:pPr>
        <w:pStyle w:val="Normal"/>
        <w:bidi w:val="0"/>
        <w:jc w:val="start"/>
        <w:rPr>
          <w:rFonts w:ascii="Times New Roman" w:hAnsi="Times New Roman"/>
          <w:sz w:val="20"/>
          <w:szCs w:val="20"/>
        </w:rPr>
      </w:pPr>
      <w:r>
        <w:rPr>
          <w:rFonts w:ascii="Times New Roman" w:hAnsi="Times New Roman"/>
          <w:sz w:val="20"/>
          <w:szCs w:val="20"/>
        </w:rPr>
        <w:t xml:space="preserve">Vice-President of the European Commission / High Representative of the Union for Foreign Affairs and Security Policy -HR/VP </w:t>
      </w:r>
    </w:p>
    <w:p>
      <w:pPr>
        <w:pStyle w:val="Normal"/>
        <w:bidi w:val="0"/>
        <w:jc w:val="start"/>
        <w:rPr/>
      </w:pPr>
      <w:r>
        <w:rPr>
          <w:rFonts w:ascii="Times New Roman" w:hAnsi="Times New Roman"/>
        </w:rPr>
        <w:br/>
      </w:r>
      <w:r>
        <w:rPr>
          <w:rFonts w:ascii="Times New Roman" w:hAnsi="Times New Roman"/>
          <w:b/>
          <w:bCs/>
        </w:rPr>
        <w:t>Email:</w:t>
      </w:r>
      <w:r>
        <w:rPr>
          <w:rFonts w:ascii="Times New Roman" w:hAnsi="Times New Roman"/>
        </w:rPr>
        <w:t xml:space="preserve"> </w:t>
      </w:r>
      <w:hyperlink r:id="rId2">
        <w:r>
          <w:rPr>
            <w:rStyle w:val="Hyperlink"/>
            <w:rFonts w:ascii="Times New Roman" w:hAnsi="Times New Roman"/>
          </w:rPr>
          <w:t>reza.ostad.official@gmail.com</w:t>
        </w:r>
      </w:hyperlink>
    </w:p>
    <w:p>
      <w:pPr>
        <w:pStyle w:val="Normal"/>
        <w:bidi w:val="0"/>
        <w:jc w:val="start"/>
        <w:rPr>
          <w:rFonts w:ascii="Times New Roman" w:hAnsi="Times New Roman"/>
        </w:rPr>
      </w:pPr>
      <w:r>
        <w:rPr>
          <w:rFonts w:ascii="Times New Roman" w:hAnsi="Times New Roman"/>
        </w:rPr>
      </w:r>
    </w:p>
    <w:p>
      <w:pPr>
        <w:pStyle w:val="Heading1"/>
        <w:bidi w:val="0"/>
        <w:jc w:val="start"/>
        <w:rPr>
          <w:rFonts w:ascii="Times New Roman" w:hAnsi="Times New Roman"/>
          <w:sz w:val="24"/>
          <w:szCs w:val="24"/>
        </w:rPr>
      </w:pPr>
      <w:r>
        <w:rPr>
          <w:rFonts w:ascii="Times New Roman" w:hAnsi="Times New Roman"/>
          <w:sz w:val="24"/>
          <w:szCs w:val="24"/>
        </w:rPr>
        <w:t>Introduction</w:t>
      </w:r>
    </w:p>
    <w:p>
      <w:pPr>
        <w:pStyle w:val="Heading2"/>
        <w:bidi w:val="0"/>
        <w:jc w:val="start"/>
        <w:rPr>
          <w:rFonts w:ascii="Times New Roman" w:hAnsi="Times New Roman"/>
          <w:sz w:val="30"/>
          <w:szCs w:val="30"/>
        </w:rPr>
      </w:pPr>
      <w:r>
        <w:rPr>
          <w:rFonts w:ascii="Times New Roman" w:hAnsi="Times New Roman"/>
          <w:sz w:val="30"/>
          <w:szCs w:val="30"/>
        </w:rPr>
        <w:t>The Loss of Internal and External Legitimacy of the Islamic Republic and the Case for European Support for a Democratic Transition in Iran</w:t>
      </w:r>
    </w:p>
    <w:p>
      <w:pPr>
        <w:pStyle w:val="BodyText"/>
        <w:bidi w:val="0"/>
        <w:jc w:val="both"/>
        <w:rPr>
          <w:rFonts w:ascii="Times New Roman" w:hAnsi="Times New Roman"/>
        </w:rPr>
      </w:pPr>
      <w:r>
        <w:rPr>
          <w:rFonts w:ascii="Times New Roman" w:hAnsi="Times New Roman"/>
        </w:rPr>
        <w:t>The European Union is now confronted with a narrowing strategic window in relation to Iran. The question is no longer merely whether the Islamic Republic is an authoritarian state with an abusive human-rights record. The more serious question is whether the regime has passed the threshold at which it can still credibly claim internal legitimacy before the Iranian people or external legitimacy before the international community.</w:t>
      </w:r>
    </w:p>
    <w:p>
      <w:pPr>
        <w:pStyle w:val="BodyText"/>
        <w:bidi w:val="0"/>
        <w:jc w:val="both"/>
        <w:rPr>
          <w:rFonts w:ascii="Times New Roman" w:hAnsi="Times New Roman"/>
        </w:rPr>
      </w:pPr>
      <w:r>
        <w:rPr>
          <w:rFonts w:ascii="Times New Roman" w:hAnsi="Times New Roman"/>
        </w:rPr>
        <w:t xml:space="preserve">This dossier argues that the Islamic Republic has already suffered a fundamental collapse of both forms of legitimacy. Internally, it has lost the consent of a significant part of the governed through mass repression, arbitrary detention, systematic torture, sexual violence, forced confessions, executions of protesters and political prisoners, and the violent suppression of civic space. Externally, it has increasingly placed itself outside the normative expectations of the international legal order by persistently violating the principles of human dignity, political participation, due process, freedom of expression, freedom of assembly, the right to life </w:t>
      </w:r>
      <w:r>
        <w:rPr>
          <w:rFonts w:ascii="Times New Roman" w:hAnsi="Times New Roman"/>
        </w:rPr>
        <w:t xml:space="preserve">and also by attacking its neighbouring countries and taking the world economy hostage by manipulating the shipping flow over the strait of Hormuz in the Persian Gulf. </w:t>
      </w:r>
    </w:p>
    <w:p>
      <w:pPr>
        <w:pStyle w:val="BlockQuotation"/>
        <w:bidi w:val="0"/>
        <w:ind w:hanging="0" w:start="0" w:end="567"/>
        <w:jc w:val="both"/>
        <w:rPr>
          <w:rFonts w:ascii="Times New Roman" w:hAnsi="Times New Roman"/>
        </w:rPr>
      </w:pPr>
      <w:r>
        <w:rPr>
          <w:rFonts w:ascii="Times New Roman" w:hAnsi="Times New Roman"/>
        </w:rPr>
        <w:t>The Islamic Republic has deprived Iranians of meaningful constitutional choice by subordinating popular sovereignty to clerical supremacy and security control. A democratic transition must therefore culminate in a constitutional process in which Iranians are finally permitted to decide the form, values, and institutions of their state. Europe’s responsibility is not to write Iran’s constitution, but to help ensure that the Iranian people can do so without intimidation, censorship, torture, executions, or armed coercion.</w:t>
      </w:r>
    </w:p>
    <w:p>
      <w:pPr>
        <w:pStyle w:val="BodyText"/>
        <w:bidi w:val="0"/>
        <w:jc w:val="both"/>
        <w:rPr>
          <w:rFonts w:ascii="Times New Roman" w:hAnsi="Times New Roman"/>
        </w:rPr>
      </w:pPr>
      <w:r>
        <w:rPr>
          <w:rFonts w:ascii="Times New Roman" w:hAnsi="Times New Roman"/>
        </w:rPr>
        <w:t xml:space="preserve">In international law and political theory, governmental legitimacy is not created solely by territorial control or institutional continuity. A state may continue to exist as a legal person while its ruling authorities lose political and moral legitimacy. The modern international order, especially after 1945, does not treat sovereignty as an unrestricted licence to brutalise a population </w:t>
      </w:r>
      <w:r>
        <w:rPr>
          <w:rFonts w:ascii="Times New Roman" w:hAnsi="Times New Roman"/>
        </w:rPr>
        <w:t>and invade its neighbours</w:t>
      </w:r>
      <w:r>
        <w:rPr>
          <w:rFonts w:ascii="Times New Roman" w:hAnsi="Times New Roman"/>
        </w:rPr>
        <w:t>. Sovereignty is increasingly understood together with responsibility: responsibility to protect life, respect fundamental rights, permit civic participation, and refrain from systematic violence against the people.</w:t>
      </w:r>
    </w:p>
    <w:p>
      <w:pPr>
        <w:pStyle w:val="BodyText"/>
        <w:bidi w:val="0"/>
        <w:jc w:val="both"/>
        <w:rPr/>
      </w:pPr>
      <w:r>
        <w:rPr>
          <w:rFonts w:ascii="Times New Roman" w:hAnsi="Times New Roman"/>
        </w:rPr>
        <w:t xml:space="preserve">Iran is a party to the </w:t>
      </w:r>
      <w:r>
        <w:rPr>
          <w:rStyle w:val="Strong"/>
          <w:rFonts w:ascii="Times New Roman" w:hAnsi="Times New Roman"/>
        </w:rPr>
        <w:t>International Covenant on Civil and Political Rights</w:t>
      </w:r>
      <w:r>
        <w:rPr>
          <w:rFonts w:ascii="Times New Roman" w:hAnsi="Times New Roman"/>
        </w:rPr>
        <w:t xml:space="preserve">, having ratified it in 1975; this means that Iran is legally bound by the Covenant’s guarantees, including self-determination, the right to life, freedom from torture, liberty and security of person, fair trial guarantees, freedom of expression, peaceful assembly, and political participation. These obligations are directly relevant to the regime’s legitimacy crisis. Article 1 of the ICCPR affirms the right of all peoples to self-determination and to freely determine their political status; Article 6 protects the right to life; Article 7 prohibits torture and cruel, inhuman, or degrading treatment; Article 9 protects liberty and security of person; Article 14 protects fair-trial rights; Articles 19 and 21 protect expression and peaceful assembly; and Article 25 protects the right of citizens to take part in public affairs and to choose their representatives. </w:t>
      </w:r>
    </w:p>
    <w:p>
      <w:pPr>
        <w:pStyle w:val="BodyText"/>
        <w:bidi w:val="0"/>
        <w:jc w:val="both"/>
        <w:rPr>
          <w:rFonts w:ascii="Times New Roman" w:hAnsi="Times New Roman"/>
        </w:rPr>
      </w:pPr>
      <w:r>
        <w:rPr>
          <w:rFonts w:ascii="Times New Roman" w:hAnsi="Times New Roman"/>
        </w:rPr>
        <w:t>The Universal Declaration of Human Rights reinforces the same normative foundation. Article 3 protects the right to life, liberty and security of person; Article 5 prohibits torture and cruel, inhuman or degrading treatment; Article 9 prohibits arbitrary arrest, detention or exile; Article 19 protects freedom of opinion and expression; Article 20 protects peaceful assembly and association; and Article 21 provides that the will of the people shall be the basis of the authority of government. These principles are not abstract diplomatic language. They are the legal and moral indicators by which the international community can assess whether a government still possesses a credible claim to govern.</w:t>
      </w:r>
    </w:p>
    <w:p>
      <w:pPr>
        <w:pStyle w:val="BodyText"/>
        <w:bidi w:val="0"/>
        <w:jc w:val="both"/>
        <w:rPr>
          <w:rFonts w:ascii="Times New Roman" w:hAnsi="Times New Roman"/>
        </w:rPr>
      </w:pPr>
      <w:r>
        <w:rPr>
          <w:rFonts w:ascii="Times New Roman" w:hAnsi="Times New Roman"/>
        </w:rPr>
        <w:t xml:space="preserve">Measured against these standards, the Islamic Republic’s claim to internal legitimacy has become unsustainable. The regime’s authority is no longer based on social consent, political representation, or constitutional confidence. It is increasingly maintained through securitisation: the transformation of political disagreement into a security threat, civic protest into sedition, women’s autonomy into a matter of state control, and dissenting speech into an offence punishable by imprisonment or death, </w:t>
      </w:r>
      <w:r>
        <w:rPr>
          <w:rFonts w:ascii="Times New Roman" w:hAnsi="Times New Roman"/>
        </w:rPr>
        <w:t>confiscation of the dissidents properties and monies</w:t>
      </w:r>
      <w:r>
        <w:rPr>
          <w:rFonts w:ascii="Times New Roman" w:hAnsi="Times New Roman"/>
        </w:rPr>
        <w:t>. This is not governance through legitimacy. It is governance through fear.</w:t>
      </w:r>
    </w:p>
    <w:p>
      <w:pPr>
        <w:pStyle w:val="BodyText"/>
        <w:bidi w:val="0"/>
        <w:jc w:val="both"/>
        <w:rPr>
          <w:rFonts w:ascii="Times New Roman" w:hAnsi="Times New Roman"/>
        </w:rPr>
      </w:pPr>
      <w:r>
        <w:rPr>
          <w:rFonts w:ascii="Times New Roman" w:hAnsi="Times New Roman"/>
        </w:rPr>
        <w:t xml:space="preserve">The United Nations Independent International Fact-Finding Mission on Iran has documented serious violations arising from the repression of protests, including unnecessary and disproportionate use of lethal force against protesters, unlawful and extrajudicial executions, arbitrary detention, torture, ill-treatment, </w:t>
      </w:r>
      <w:r>
        <w:rPr>
          <w:rFonts w:ascii="Times New Roman" w:hAnsi="Times New Roman"/>
        </w:rPr>
        <w:t xml:space="preserve">systematic </w:t>
      </w:r>
      <w:r>
        <w:rPr>
          <w:rFonts w:ascii="Times New Roman" w:hAnsi="Times New Roman"/>
        </w:rPr>
        <w:t>sexual and gender-based violence, and persecution of women and girls. The Mission has also found that aspects of the repression may amount to crimes against humanity. These findings are of direct legal significance: when a state uses imprisonment, sexual violence, torture, and execution as instruments of political survival, its authority can no longer be described as an ordinary domestic political arrangement.</w:t>
      </w:r>
    </w:p>
    <w:p>
      <w:pPr>
        <w:pStyle w:val="BodyText"/>
        <w:bidi w:val="0"/>
        <w:jc w:val="both"/>
        <w:rPr>
          <w:rFonts w:ascii="Times New Roman" w:hAnsi="Times New Roman"/>
        </w:rPr>
      </w:pPr>
      <w:r>
        <w:rPr>
          <w:rFonts w:ascii="Times New Roman" w:hAnsi="Times New Roman"/>
        </w:rPr>
        <w:t xml:space="preserve">The regime’s reliance on executions further confirms the collapse of legitimate governance. According to a United Nations report presented in 2025, Iran executed at least 975 people in 2024, the highest number recorded since 2015, with concerns also raised regarding torture, arbitrary detention, prosecutions of journalists, and politically motivated executions. </w:t>
      </w:r>
      <w:r>
        <w:rPr>
          <w:rFonts w:ascii="Times New Roman" w:hAnsi="Times New Roman"/>
        </w:rPr>
        <w:t xml:space="preserve">After the cease fire by the US and Israel, The Islamic Republic has executed numerous protestors and has arrested several more for further unlawful punishments. </w:t>
      </w:r>
      <w:r>
        <w:rPr>
          <w:rFonts w:ascii="Times New Roman" w:hAnsi="Times New Roman"/>
        </w:rPr>
        <w:t xml:space="preserve">The European Union has also recognised the gravity of these violations through Iran-specific sanctions, including measures targeting individuals and entities responsible for serious human-rights violations, torture, inhuman detention conditions, executions, and repression of peaceful demonstrators. </w:t>
      </w:r>
    </w:p>
    <w:p>
      <w:pPr>
        <w:pStyle w:val="BodyText"/>
        <w:bidi w:val="0"/>
        <w:jc w:val="both"/>
        <w:rPr>
          <w:rFonts w:ascii="Times New Roman" w:hAnsi="Times New Roman"/>
        </w:rPr>
      </w:pPr>
      <w:r>
        <w:rPr>
          <w:rFonts w:ascii="Times New Roman" w:hAnsi="Times New Roman"/>
        </w:rPr>
        <w:t>The European Parliament itself has acknowledged the systemic nature of the oppression. In its February 2026 resolution, it described the Islamic Republic as engaging in systematic oppression through arbitrary arrests, enforced disappearances, torture, extrajudicial killings, the death penalty, sexual violence, collective punishment, and inhumane detention conditions. This language is important. It shows that the legitimacy crisis is no longer merely asserted by activists or opposition groups; it is increasingly reflected in the institutional language of the European Union.</w:t>
      </w:r>
    </w:p>
    <w:p>
      <w:pPr>
        <w:pStyle w:val="BodyText"/>
        <w:bidi w:val="0"/>
        <w:jc w:val="both"/>
        <w:rPr>
          <w:rFonts w:ascii="Times New Roman" w:hAnsi="Times New Roman"/>
        </w:rPr>
      </w:pPr>
      <w:r>
        <w:rPr>
          <w:rFonts w:ascii="Times New Roman" w:hAnsi="Times New Roman"/>
        </w:rPr>
        <w:t>The Islamic Republic has also lost external legitimacy because its conduct is not confined to domestic repression. A regime that survives by permanent internal emergency often externalises instability. It exports insecurity through proxy networks, hostage diplomacy, transnational repression, ideological militancy, cyber operations, and threats against dissidents abroad. Such behaviour turns a domestic legitimacy crisis into a regional and European security concern. For the European Union, the issue is therefore not only solidarity with the Iranian people; it is also the protection of Europe’s own security, public order, democratic institutions, and citizens.</w:t>
      </w:r>
    </w:p>
    <w:p>
      <w:pPr>
        <w:pStyle w:val="BodyText"/>
        <w:bidi w:val="0"/>
        <w:jc w:val="both"/>
        <w:rPr>
          <w:rFonts w:ascii="Times New Roman" w:hAnsi="Times New Roman"/>
        </w:rPr>
      </w:pPr>
      <w:r>
        <w:rPr>
          <w:rFonts w:ascii="Times New Roman" w:hAnsi="Times New Roman"/>
        </w:rPr>
        <w:t>The ideological nature of the regime must also be addressed clearly. The Islamic Republic is not a normal state temporarily misgoverned by an unpopular administration. It is a revolutionary-security structure built on ideological supremacy, clerical absolutism, anti-liberal hostility, and the fusion of state power with military-intelligence networks. Its survival is not beneficial to the Iranian people, the region, or Europe. Internally, it blocks political development, economic modernisation, women’s freedom, rule of law, and generational renewal. Regionally, it contributes to militarisation, proxy conflict, and insecurity. Internationally, it creates a continuing risk of nuclear escalation, hostage-taking, sanctions evasion, organised repression, and destabilising confrontation.</w:t>
      </w:r>
    </w:p>
    <w:p>
      <w:pPr>
        <w:pStyle w:val="BodyText"/>
        <w:bidi w:val="0"/>
        <w:jc w:val="both"/>
        <w:rPr>
          <w:rFonts w:ascii="Times New Roman" w:hAnsi="Times New Roman"/>
        </w:rPr>
      </w:pPr>
      <w:r>
        <w:rPr>
          <w:rFonts w:ascii="Times New Roman" w:hAnsi="Times New Roman"/>
        </w:rPr>
        <w:t>By contrast, a free, secular, democratic, and prosperous Iran would be a strategic asset for Europe. It would create one of the most significant opportunities for regional stabilisation in the twenty-first century. Iran has a young and educated population, major energy resources, a sophisticated commercial culture, a large domestic market, strategic geography, and deep historical links with Europe. A democratic Iran could become a partner in energy security, trade, investment, regional de-escalation, migration management, counter-extremism, cultural exchange, and technological development. It could also reduce the security burden created by permanent confrontation in the Middle East. For Europe, therefore, supporting a lawful democratic transition in Iran is not charity. It is a strategic investment in long-term security and prosperity.</w:t>
      </w:r>
    </w:p>
    <w:p>
      <w:pPr>
        <w:pStyle w:val="BodyText"/>
        <w:bidi w:val="0"/>
        <w:jc w:val="both"/>
        <w:rPr>
          <w:rFonts w:ascii="Times New Roman" w:hAnsi="Times New Roman"/>
        </w:rPr>
      </w:pPr>
      <w:r>
        <w:rPr>
          <w:rFonts w:ascii="Times New Roman" w:hAnsi="Times New Roman"/>
        </w:rPr>
        <w:t>The legal and political consequence of this legitimacy collapse is that the European Union should begin distinguishing between the Iranian state, the Iranian nation, and the current ruling apparatus. Iran as a country must be respected. The Iranian people must be protected. But the Islamic Republic’s ruling structure should not be treated as the only possible political representative of Iran’s future. Where a regime has lost internal consent and external credibility, international actors may lawfully increase engagement with credible democratic opposition figures, civic representatives, women’s movements, legal experts, human-rights defenders, and transitional leadership platforms.</w:t>
      </w:r>
    </w:p>
    <w:p>
      <w:pPr>
        <w:pStyle w:val="BodyText"/>
        <w:bidi w:val="0"/>
        <w:jc w:val="both"/>
        <w:rPr>
          <w:rFonts w:ascii="Times New Roman" w:hAnsi="Times New Roman"/>
        </w:rPr>
      </w:pPr>
      <w:r>
        <w:rPr>
          <w:rFonts w:ascii="Times New Roman" w:hAnsi="Times New Roman"/>
        </w:rPr>
        <w:t>In this context, the question of transitional leadership becomes unavoidable. International recognition of a transitional figure or platform is not a mechanical legal act; it is a political and diplomatic judgment based on legitimacy, credibility, public support, democratic commitment, and the ability to guide a peaceful transfer of authority. The relevant test should not be personal ambition, dynastic nostalgia, or ideological preference. The test should be whether a proposed transitional leader can credibly help move the country from authoritarian collapse toward free elections, constitutional choice, and national reconciliation.</w:t>
      </w:r>
    </w:p>
    <w:p>
      <w:pPr>
        <w:pStyle w:val="BodyText"/>
        <w:bidi w:val="0"/>
        <w:jc w:val="both"/>
        <w:rPr>
          <w:rFonts w:ascii="Times New Roman" w:hAnsi="Times New Roman"/>
        </w:rPr>
      </w:pPr>
      <w:r>
        <w:rPr>
          <w:rFonts w:ascii="Times New Roman" w:hAnsi="Times New Roman"/>
        </w:rPr>
        <w:t>On that basis, Mr. Reza Pahlavi has emerged as a figure with notable symbolic and political legitimacy among many Iranians, especially because he has repeatedly framed his role not as a claim to permanent power, but as support for a transitional process leading to ballots, constitutional choice, and the sovereign decision of the Iranian people. This is a crucial distinction. The argument is not that any external power should impose a future government on Iran. The argument is that, in the absence of legitimate internal representation under the Islamic Republic, and where a widely recognised opposition figure commits to a democratic transition, the European Union may lawfully and politically engage with, endorse, or recognise such a figure as a transitional interlocutor  provided that the final political order is determined by the Iranian people through free and fair elections.</w:t>
      </w:r>
    </w:p>
    <w:p>
      <w:pPr>
        <w:pStyle w:val="BodyText"/>
        <w:bidi w:val="0"/>
        <w:jc w:val="both"/>
        <w:rPr>
          <w:rFonts w:ascii="Times New Roman" w:hAnsi="Times New Roman"/>
        </w:rPr>
      </w:pPr>
      <w:r>
        <w:rPr>
          <w:rFonts w:ascii="Times New Roman" w:hAnsi="Times New Roman"/>
        </w:rPr>
        <w:t>Historical experience supports this approach. During the fall of communist rule in Czechoslovakia, Václav Havel moved from dissident intellectual and moral symbol to transitional political leader because he embodied civic resistance, democratic credibility, and the possibility of peaceful national renewal. His legitimacy did not arise from control of the old state machinery. It arose from public trust, moral authority, democratic commitment, and the collapse of the ruling party’s claim to govern. Similar transitional moments show that where an authoritarian system loses legitimacy, leadership may emerge from outside the formal regime structure and later be confirmed through constitutional and electoral processes.</w:t>
      </w:r>
    </w:p>
    <w:p>
      <w:pPr>
        <w:pStyle w:val="BodyText"/>
        <w:bidi w:val="0"/>
        <w:jc w:val="both"/>
        <w:rPr>
          <w:rFonts w:ascii="Times New Roman" w:hAnsi="Times New Roman"/>
        </w:rPr>
      </w:pPr>
      <w:r>
        <w:rPr>
          <w:rFonts w:ascii="Times New Roman" w:hAnsi="Times New Roman"/>
        </w:rPr>
        <w:t>The European Union should therefore not limit itself to reactive condemnation. Article 21 of the Treaty on European Union requires the Union’s external action to be guided by democracy, the rule of law, human rights, human dignity, equality, solidarity, the principles of the United Nations Charter, and international law. It also requires the Union to support democracy, human rights, the rule of law, peace, conflict prevention, and international security. These principles provide the legal and policy foundation for a more coherent European position on Iran.</w:t>
      </w:r>
    </w:p>
    <w:p>
      <w:pPr>
        <w:pStyle w:val="BodyText"/>
        <w:bidi w:val="0"/>
        <w:jc w:val="both"/>
        <w:rPr>
          <w:rFonts w:ascii="Times New Roman" w:hAnsi="Times New Roman"/>
        </w:rPr>
      </w:pPr>
      <w:r>
        <w:rPr>
          <w:rFonts w:ascii="Times New Roman" w:hAnsi="Times New Roman"/>
        </w:rPr>
        <w:t>This dossier therefore proposes that the European Parliament and other EU institutions adopt a structured approach to Iran’s democratic transition. Such an approach should combine legal accountability, protection of civic space, targeted sanctions, documentation of crimes, diplomatic isolation of perpetrators, engagement with democratic opposition, and recognition of the Iranian people’s right to determine their political future. It should also consider the conditions under which the European Union may recognise or endorse a transitional leadership framework committed to secular governance, territorial integrity, human rights, gender equality, rule of law, and free elections.</w:t>
      </w:r>
    </w:p>
    <w:p>
      <w:pPr>
        <w:pStyle w:val="BodyText"/>
        <w:bidi w:val="0"/>
        <w:jc w:val="both"/>
        <w:rPr>
          <w:rFonts w:ascii="Times New Roman" w:hAnsi="Times New Roman"/>
        </w:rPr>
      </w:pPr>
      <w:r>
        <w:rPr>
          <w:rFonts w:ascii="Times New Roman" w:hAnsi="Times New Roman"/>
        </w:rPr>
        <w:t>The purpose of this dossier is not to invite foreign domination over Iran’s political future. On the contrary, it is to defend the sovereign right of the Iranian people to reclaim that future from a regime that has substituted coercion for consent and ideology for law. The European Union must decide whether it will continue treating the Islamic Republic as an unavoidable permanent authority, or whether it will begin preparing lawful and political instruments for a democratic transition that reflects the will, dignity, and future of the Iranian nation.</w:t>
      </w:r>
    </w:p>
    <w:p>
      <w:pPr>
        <w:pStyle w:val="BodyText"/>
        <w:bidi w:val="0"/>
        <w:jc w:val="both"/>
        <w:rPr>
          <w:rFonts w:ascii="Times New Roman" w:hAnsi="Times New Roman"/>
        </w:rPr>
      </w:pPr>
      <w:r>
        <w:rPr>
          <w:rFonts w:ascii="Times New Roman" w:hAnsi="Times New Roman"/>
        </w:rPr>
        <w:t>In the sections that follow, this dossier sets out practical recommendations for how the European Parliament and the wider European Union can implement legal, diplomatic, political, and accountability instruments in support of such a transition, including mechanisms for civic protection, targeted sanctions, international investigation, diplomatic recognition, engagement with transitional leadership, and eventual support for a democratic constitutional process in Iran.</w:t>
      </w:r>
    </w:p>
    <w:p>
      <w:pPr>
        <w:pStyle w:val="Normal"/>
        <w:bidi w:val="0"/>
        <w:jc w:val="both"/>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EXECUTIVE SUMMARY</w:t>
      </w:r>
    </w:p>
    <w:p>
      <w:pPr>
        <w:pStyle w:val="Normal"/>
        <w:bidi w:val="0"/>
        <w:jc w:val="both"/>
        <w:rPr>
          <w:rFonts w:ascii="Times New Roman" w:hAnsi="Times New Roman"/>
        </w:rPr>
      </w:pPr>
      <w:r>
        <w:rPr>
          <w:rFonts w:ascii="Times New Roman" w:hAnsi="Times New Roman"/>
        </w:rPr>
        <w:br/>
        <w:t xml:space="preserve">The European Union is presented with a narrowing strategic window to influence the trajectory of political developments in Iran. Current indicators, including restrictions on communication, suppression of dissent, </w:t>
      </w:r>
      <w:r>
        <w:rPr>
          <w:rFonts w:ascii="Times New Roman" w:hAnsi="Times New Roman"/>
        </w:rPr>
        <w:t xml:space="preserve">systematic torture and rape in their haunting prisons, </w:t>
      </w:r>
      <w:r>
        <w:rPr>
          <w:rFonts w:ascii="Times New Roman" w:hAnsi="Times New Roman"/>
        </w:rPr>
        <w:t>and the treatment of protesters reflect a widening gap between state authority and societal legitimacy.</w:t>
        <w:br/>
        <w:t xml:space="preserve">If left unaddressed, such dynamics historically lead to the consolidation of power through securitisation, often followed by externalisation of instability beyond national borders. </w:t>
      </w:r>
      <w:r>
        <w:rPr>
          <w:rFonts w:ascii="Times New Roman" w:hAnsi="Times New Roman"/>
        </w:rPr>
        <w:t>The</w:t>
      </w:r>
      <w:r>
        <w:rPr>
          <w:rFonts w:ascii="Times New Roman" w:hAnsi="Times New Roman"/>
        </w:rPr>
        <w:t xml:space="preserve"> European Union </w:t>
      </w:r>
      <w:r>
        <w:rPr>
          <w:rFonts w:ascii="Times New Roman" w:hAnsi="Times New Roman"/>
        </w:rPr>
        <w:t>is able to</w:t>
      </w:r>
      <w:r>
        <w:rPr>
          <w:rFonts w:ascii="Times New Roman" w:hAnsi="Times New Roman"/>
        </w:rPr>
        <w:t xml:space="preserve"> establish a structured accountability architecture composed of  an Iran Human Rights Documentation Cell; an independent forensic and open-source investigation team; a detention-facility and command responsibility inquiry; a judicial responsibility mapping mechanism; a digital repression and surveillance investigation; and a coordinated inquiry into transnational repression within EU territory. These mechanisms should support calibrated targeted measures, including asset freezes, travel bans, export control restrictions, visa restrictions, sanctions against direct perpetrators and enabling entities, asset-tracing investigations, human-rights due-diligence advisories to European companies, and referral ready case files for competent national prosecutors under universal jurisdiction frameworks.</w:t>
      </w:r>
      <w:r>
        <w:rPr>
          <w:rFonts w:ascii="Times New Roman" w:hAnsi="Times New Roman"/>
          <w:b/>
          <w:bCs/>
        </w:rPr>
        <w:t xml:space="preserve"> </w:t>
      </w:r>
      <w:r>
        <w:rPr>
          <w:rFonts w:ascii="Times New Roman" w:hAnsi="Times New Roman"/>
        </w:rPr>
        <w:t>This dossier proposes a structured, lawful, and policy-aligned approach for the European Union to:</w:t>
      </w:r>
    </w:p>
    <w:p>
      <w:pPr>
        <w:pStyle w:val="BlockQuotation"/>
        <w:bidi w:val="0"/>
        <w:ind w:hanging="0" w:start="0" w:end="567"/>
        <w:jc w:val="start"/>
        <w:rPr>
          <w:rFonts w:ascii="Times New Roman" w:hAnsi="Times New Roman"/>
        </w:rPr>
      </w:pPr>
      <w:r>
        <w:rPr>
          <w:rFonts w:ascii="Times New Roman" w:hAnsi="Times New Roman"/>
          <w:b/>
          <w:bCs/>
        </w:rPr>
        <w:br/>
      </w:r>
      <w:r>
        <w:rPr>
          <w:rFonts w:ascii="Times New Roman" w:hAnsi="Times New Roman"/>
          <w:b w:val="false"/>
          <w:bCs w:val="false"/>
        </w:rPr>
        <w:t xml:space="preserve">1- Recognise and Protect civic space and fundamental freedoms </w:t>
      </w:r>
      <w:r>
        <w:rPr>
          <w:rFonts w:ascii="Times New Roman" w:hAnsi="Times New Roman"/>
          <w:b w:val="false"/>
          <w:bCs w:val="false"/>
        </w:rPr>
        <w:t>in Iran</w:t>
      </w:r>
      <w:r>
        <w:rPr>
          <w:rFonts w:ascii="Times New Roman" w:hAnsi="Times New Roman"/>
          <w:b w:val="false"/>
          <w:bCs w:val="false"/>
        </w:rPr>
        <w:br/>
        <w:t>2- Investigate and Apply calibrated, targeted accountability measures</w:t>
      </w:r>
    </w:p>
    <w:p>
      <w:pPr>
        <w:pStyle w:val="BlockQuotation"/>
        <w:bidi w:val="0"/>
        <w:ind w:hanging="0" w:start="0" w:end="567"/>
        <w:jc w:val="center"/>
        <w:rPr>
          <w:rFonts w:ascii="Times New Roman" w:hAnsi="Times New Roman"/>
        </w:rPr>
      </w:pPr>
      <w:r>
        <w:rPr>
          <w:rFonts w:ascii="Times New Roman" w:hAnsi="Times New Roman"/>
          <w:b/>
          <w:bCs/>
        </w:rPr>
        <w:t xml:space="preserve">HUMAN RIGHTS PRECAUTIONS FOR IRAN  </w:t>
      </w:r>
      <w:r>
        <w:rPr>
          <w:rFonts w:ascii="Times New Roman" w:hAnsi="Times New Roman"/>
          <w:b w:val="false"/>
          <w:bCs w:val="false"/>
        </w:rPr>
        <w:t xml:space="preserve">  </w:t>
      </w:r>
    </w:p>
    <w:p>
      <w:pPr>
        <w:pStyle w:val="Normal"/>
        <w:bidi w:val="0"/>
        <w:jc w:val="both"/>
        <w:rPr>
          <w:rFonts w:ascii="Times New Roman" w:hAnsi="Times New Roman"/>
        </w:rPr>
      </w:pPr>
      <w:r>
        <w:rPr>
          <w:rFonts w:ascii="Times New Roman" w:hAnsi="Times New Roman"/>
          <w:b/>
          <w:bCs/>
        </w:rPr>
        <w:t xml:space="preserve">1. </w:t>
      </w:r>
      <w:r>
        <w:rPr>
          <w:rFonts w:ascii="Times New Roman" w:hAnsi="Times New Roman"/>
          <w:b/>
          <w:bCs/>
        </w:rPr>
        <w:t>EU Special Documentation Cell for Iran</w:t>
      </w:r>
    </w:p>
    <w:p>
      <w:pPr>
        <w:pStyle w:val="BodyText"/>
        <w:bidi w:val="0"/>
        <w:jc w:val="both"/>
        <w:rPr/>
      </w:pPr>
      <w:r>
        <w:rPr>
          <w:rFonts w:ascii="Times New Roman" w:hAnsi="Times New Roman"/>
        </w:rPr>
        <w:t xml:space="preserve">The EU </w:t>
      </w:r>
      <w:r>
        <w:rPr>
          <w:rFonts w:ascii="Times New Roman" w:hAnsi="Times New Roman"/>
        </w:rPr>
        <w:t>ought to</w:t>
      </w:r>
      <w:r>
        <w:rPr>
          <w:rFonts w:ascii="Times New Roman" w:hAnsi="Times New Roman"/>
        </w:rPr>
        <w:t xml:space="preserve"> establish a dedicated Iran Human Rights Documentation Cell to collect, verify, preserve, and classify evidence of serious violations, including torture, sexual violence in detention, arbitrary executions, enforced disappearances, and systematic repression of civic space. </w:t>
      </w:r>
      <w:r>
        <w:rPr>
          <w:rFonts w:ascii="Times New Roman" w:hAnsi="Times New Roman"/>
        </w:rPr>
        <w:t>We can c</w:t>
      </w:r>
      <w:r>
        <w:rPr>
          <w:rFonts w:ascii="Times New Roman" w:hAnsi="Times New Roman"/>
        </w:rPr>
        <w:t>reate a dedicated</w:t>
      </w:r>
      <w:r>
        <w:rPr>
          <w:rFonts w:ascii="Times New Roman" w:hAnsi="Times New Roman"/>
          <w:b w:val="false"/>
          <w:bCs w:val="false"/>
        </w:rPr>
        <w:t xml:space="preserve"> </w:t>
      </w:r>
      <w:r>
        <w:rPr>
          <w:rStyle w:val="Strong"/>
          <w:rFonts w:ascii="Times New Roman" w:hAnsi="Times New Roman"/>
          <w:b w:val="false"/>
          <w:bCs w:val="false"/>
        </w:rPr>
        <w:t>EU Iran Human Rights Documentation Cell</w:t>
      </w:r>
      <w:r>
        <w:rPr>
          <w:rFonts w:ascii="Times New Roman" w:hAnsi="Times New Roman"/>
        </w:rPr>
        <w:t xml:space="preserve"> under the EEAS or in cooperation with willing Member States. </w:t>
      </w:r>
      <w:r>
        <w:rPr>
          <w:rFonts w:ascii="Times New Roman" w:hAnsi="Times New Roman"/>
        </w:rPr>
        <w:t xml:space="preserve">It can be also creating Human Rights relevant websites like  </w:t>
      </w:r>
      <w:hyperlink r:id="rId3">
        <w:r>
          <w:rPr>
            <w:rStyle w:val="Hyperlink"/>
            <w:rFonts w:ascii="Times New Roman" w:hAnsi="Times New Roman"/>
          </w:rPr>
          <w:t>WWW.HUMANINCHAIN.ORG</w:t>
        </w:r>
      </w:hyperlink>
      <w:r>
        <w:rPr>
          <w:rFonts w:ascii="Times New Roman" w:hAnsi="Times New Roman"/>
        </w:rPr>
        <w:t xml:space="preserve"> which is documenting the Political Prisoners inside of Iran UPDATED BY PEOPLE ON THE GROUND AND VERIFIED BY ITS FACT FINDING TEAM. It’s</w:t>
      </w:r>
      <w:r>
        <w:rPr>
          <w:rFonts w:ascii="Times New Roman" w:hAnsi="Times New Roman"/>
        </w:rPr>
        <w:t xml:space="preserve"> role would be to collect, verify, preserve, and classify evidence relating to:</w:t>
      </w:r>
    </w:p>
    <w:p>
      <w:pPr>
        <w:pStyle w:val="BodyText"/>
        <w:numPr>
          <w:ilvl w:val="0"/>
          <w:numId w:val="2"/>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arbitrary detention; </w:t>
      </w:r>
    </w:p>
    <w:p>
      <w:pPr>
        <w:pStyle w:val="BodyText"/>
        <w:numPr>
          <w:ilvl w:val="0"/>
          <w:numId w:val="2"/>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torture; </w:t>
      </w:r>
    </w:p>
    <w:p>
      <w:pPr>
        <w:pStyle w:val="BodyText"/>
        <w:numPr>
          <w:ilvl w:val="0"/>
          <w:numId w:val="2"/>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prison rape and sexual violence; </w:t>
      </w:r>
    </w:p>
    <w:p>
      <w:pPr>
        <w:pStyle w:val="BodyText"/>
        <w:numPr>
          <w:ilvl w:val="0"/>
          <w:numId w:val="2"/>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forced confessions; </w:t>
      </w:r>
    </w:p>
    <w:p>
      <w:pPr>
        <w:pStyle w:val="BodyText"/>
        <w:numPr>
          <w:ilvl w:val="0"/>
          <w:numId w:val="2"/>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executions and death sentences; </w:t>
      </w:r>
    </w:p>
    <w:p>
      <w:pPr>
        <w:pStyle w:val="BodyText"/>
        <w:numPr>
          <w:ilvl w:val="0"/>
          <w:numId w:val="2"/>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enforced disappearances; </w:t>
      </w:r>
    </w:p>
    <w:p>
      <w:pPr>
        <w:pStyle w:val="BodyText"/>
        <w:numPr>
          <w:ilvl w:val="0"/>
          <w:numId w:val="2"/>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internet shutdowns; </w:t>
      </w:r>
    </w:p>
    <w:p>
      <w:pPr>
        <w:pStyle w:val="BodyText"/>
        <w:numPr>
          <w:ilvl w:val="0"/>
          <w:numId w:val="2"/>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protester killings; </w:t>
      </w:r>
    </w:p>
    <w:p>
      <w:pPr>
        <w:pStyle w:val="BodyText"/>
        <w:numPr>
          <w:ilvl w:val="0"/>
          <w:numId w:val="2"/>
        </w:numPr>
        <w:tabs>
          <w:tab w:val="clear" w:pos="709"/>
          <w:tab w:val="left" w:pos="707" w:leader="none"/>
        </w:tabs>
        <w:bidi w:val="0"/>
        <w:ind w:hanging="283" w:start="707"/>
        <w:jc w:val="start"/>
        <w:rPr>
          <w:rFonts w:ascii="Times New Roman" w:hAnsi="Times New Roman"/>
        </w:rPr>
      </w:pPr>
      <w:r>
        <w:rPr>
          <w:rFonts w:ascii="Times New Roman" w:hAnsi="Times New Roman"/>
        </w:rPr>
        <w:t>persecution of lawyers, journalists, women, students, minorities, and human-rights defenders.</w:t>
      </w:r>
    </w:p>
    <w:p>
      <w:pPr>
        <w:pStyle w:val="Heading3"/>
        <w:bidi w:val="0"/>
        <w:jc w:val="start"/>
        <w:rPr>
          <w:rFonts w:ascii="Times New Roman" w:hAnsi="Times New Roman"/>
        </w:rPr>
      </w:pPr>
      <w:r>
        <w:rPr>
          <w:rFonts w:ascii="Times New Roman" w:hAnsi="Times New Roman"/>
        </w:rPr>
        <w:t>2. EU-led evidence preservation mechanism</w:t>
      </w:r>
    </w:p>
    <w:p>
      <w:pPr>
        <w:pStyle w:val="BodyText"/>
        <w:bidi w:val="0"/>
        <w:jc w:val="both"/>
        <w:rPr/>
      </w:pPr>
      <w:r>
        <w:rPr>
          <w:rFonts w:ascii="Times New Roman" w:hAnsi="Times New Roman"/>
          <w:b/>
          <w:bCs/>
        </w:rPr>
        <w:t>A f</w:t>
      </w:r>
      <w:r>
        <w:rPr>
          <w:rFonts w:ascii="Times New Roman" w:hAnsi="Times New Roman"/>
          <w:b/>
          <w:bCs/>
        </w:rPr>
        <w:t xml:space="preserve">ormal </w:t>
      </w:r>
      <w:r>
        <w:rPr>
          <w:rStyle w:val="Strong"/>
          <w:rFonts w:ascii="Times New Roman" w:hAnsi="Times New Roman"/>
          <w:b/>
          <w:bCs/>
        </w:rPr>
        <w:t>e</w:t>
      </w:r>
      <w:r>
        <w:rPr>
          <w:rStyle w:val="Strong"/>
          <w:rFonts w:ascii="Times New Roman" w:hAnsi="Times New Roman"/>
        </w:rPr>
        <w:t>vidence preservation mechanism</w:t>
      </w:r>
      <w:r>
        <w:rPr>
          <w:rFonts w:ascii="Times New Roman" w:hAnsi="Times New Roman"/>
        </w:rPr>
        <w:t xml:space="preserve"> designed to support future criminal, civil, immigration, sanctions, and universal-jurisdiction proceedings. The EU’</w:t>
      </w:r>
      <w:r>
        <w:rPr>
          <w:rFonts w:ascii="Times New Roman" w:hAnsi="Times New Roman"/>
        </w:rPr>
        <w:t>s</w:t>
      </w:r>
      <w:r>
        <w:rPr>
          <w:rFonts w:ascii="Times New Roman" w:hAnsi="Times New Roman"/>
        </w:rPr>
        <w:t xml:space="preserve"> support </w:t>
      </w:r>
      <w:r>
        <w:rPr>
          <w:rFonts w:ascii="Times New Roman" w:hAnsi="Times New Roman"/>
        </w:rPr>
        <w:t xml:space="preserve">will lead to the birth of </w:t>
      </w:r>
      <w:r>
        <w:rPr>
          <w:rFonts w:ascii="Times New Roman" w:hAnsi="Times New Roman"/>
        </w:rPr>
        <w:t>a secure evidence preservation mechanism capable of preserving witness statements, digital evidence, forensic material, command-responsibility data, and records of judicial and security involvement for future accountability proceedings.</w:t>
      </w:r>
    </w:p>
    <w:p>
      <w:pPr>
        <w:pStyle w:val="BodyText"/>
        <w:bidi w:val="0"/>
        <w:jc w:val="start"/>
        <w:rPr>
          <w:rFonts w:ascii="Times New Roman" w:hAnsi="Times New Roman"/>
        </w:rPr>
      </w:pPr>
      <w:r>
        <w:rPr>
          <w:rFonts w:ascii="Times New Roman" w:hAnsi="Times New Roman"/>
        </w:rPr>
        <w:t>This can include:</w:t>
      </w:r>
    </w:p>
    <w:p>
      <w:pPr>
        <w:pStyle w:val="BodyText"/>
        <w:numPr>
          <w:ilvl w:val="0"/>
          <w:numId w:val="3"/>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witness statements; </w:t>
      </w:r>
    </w:p>
    <w:p>
      <w:pPr>
        <w:pStyle w:val="BodyText"/>
        <w:numPr>
          <w:ilvl w:val="0"/>
          <w:numId w:val="3"/>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digital footage; </w:t>
      </w:r>
    </w:p>
    <w:p>
      <w:pPr>
        <w:pStyle w:val="BodyText"/>
        <w:numPr>
          <w:ilvl w:val="0"/>
          <w:numId w:val="3"/>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prison records where available; </w:t>
      </w:r>
    </w:p>
    <w:p>
      <w:pPr>
        <w:pStyle w:val="BodyText"/>
        <w:numPr>
          <w:ilvl w:val="0"/>
          <w:numId w:val="3"/>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medical evidence; </w:t>
      </w:r>
    </w:p>
    <w:p>
      <w:pPr>
        <w:pStyle w:val="BodyText"/>
        <w:numPr>
          <w:ilvl w:val="0"/>
          <w:numId w:val="3"/>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forensic reports; </w:t>
      </w:r>
    </w:p>
    <w:p>
      <w:pPr>
        <w:pStyle w:val="BodyText"/>
        <w:numPr>
          <w:ilvl w:val="0"/>
          <w:numId w:val="3"/>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open-source intelligence; </w:t>
      </w:r>
    </w:p>
    <w:p>
      <w:pPr>
        <w:pStyle w:val="BodyText"/>
        <w:numPr>
          <w:ilvl w:val="0"/>
          <w:numId w:val="3"/>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chain-of-command mapping; </w:t>
      </w:r>
    </w:p>
    <w:p>
      <w:pPr>
        <w:pStyle w:val="BodyText"/>
        <w:numPr>
          <w:ilvl w:val="0"/>
          <w:numId w:val="3"/>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records of judicial orders; </w:t>
      </w:r>
    </w:p>
    <w:p>
      <w:pPr>
        <w:pStyle w:val="BodyText"/>
        <w:numPr>
          <w:ilvl w:val="0"/>
          <w:numId w:val="3"/>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records of prison transfers; </w:t>
      </w:r>
    </w:p>
    <w:p>
      <w:pPr>
        <w:pStyle w:val="BodyText"/>
        <w:numPr>
          <w:ilvl w:val="0"/>
          <w:numId w:val="3"/>
        </w:numPr>
        <w:tabs>
          <w:tab w:val="clear" w:pos="709"/>
          <w:tab w:val="left" w:pos="707" w:leader="none"/>
        </w:tabs>
        <w:bidi w:val="0"/>
        <w:ind w:hanging="283" w:start="707"/>
        <w:jc w:val="start"/>
        <w:rPr>
          <w:rFonts w:ascii="Times New Roman" w:hAnsi="Times New Roman"/>
        </w:rPr>
      </w:pPr>
      <w:r>
        <w:rPr>
          <w:rFonts w:ascii="Times New Roman" w:hAnsi="Times New Roman"/>
        </w:rPr>
        <w:t xml:space="preserve">lists of interrogators, judges, prosecutors, prison governors, IRGC commanders, Basij commanders, and morality-police officials. </w:t>
      </w:r>
    </w:p>
    <w:p>
      <w:pPr>
        <w:pStyle w:val="Heading3"/>
        <w:bidi w:val="0"/>
        <w:jc w:val="start"/>
        <w:rPr>
          <w:rFonts w:ascii="Times New Roman" w:hAnsi="Times New Roman"/>
        </w:rPr>
      </w:pPr>
      <w:r>
        <w:rPr>
          <w:rFonts w:ascii="Times New Roman" w:hAnsi="Times New Roman"/>
        </w:rPr>
        <w:t>3. EU-supported independent forensic and open-source investigation team</w:t>
      </w:r>
    </w:p>
    <w:p>
      <w:pPr>
        <w:pStyle w:val="BodyText"/>
        <w:bidi w:val="0"/>
        <w:spacing w:lineRule="auto" w:line="276" w:before="0" w:after="140"/>
        <w:jc w:val="start"/>
        <w:rPr/>
      </w:pPr>
      <w:r>
        <w:rPr>
          <w:rStyle w:val="Strong"/>
          <w:rFonts w:ascii="Times New Roman" w:hAnsi="Times New Roman"/>
        </w:rPr>
        <w:t xml:space="preserve">An </w:t>
      </w:r>
      <w:r>
        <w:rPr>
          <w:rStyle w:val="Strong"/>
          <w:rFonts w:ascii="Times New Roman" w:hAnsi="Times New Roman"/>
        </w:rPr>
        <w:t>independent forensic OSINT team</w:t>
      </w:r>
      <w:r>
        <w:rPr>
          <w:rFonts w:ascii="Times New Roman" w:hAnsi="Times New Roman"/>
        </w:rPr>
        <w:t>.</w:t>
      </w:r>
    </w:p>
    <w:p>
      <w:pPr>
        <w:pStyle w:val="BodyText"/>
        <w:bidi w:val="0"/>
        <w:jc w:val="both"/>
        <w:rPr>
          <w:rFonts w:ascii="Times New Roman" w:hAnsi="Times New Roman"/>
        </w:rPr>
      </w:pPr>
      <w:r>
        <w:rPr>
          <w:rFonts w:ascii="Times New Roman" w:hAnsi="Times New Roman"/>
        </w:rPr>
        <w:t xml:space="preserve">The EU </w:t>
      </w:r>
      <w:r>
        <w:rPr>
          <w:rFonts w:ascii="Times New Roman" w:hAnsi="Times New Roman"/>
        </w:rPr>
        <w:t>can</w:t>
      </w:r>
      <w:r>
        <w:rPr>
          <w:rFonts w:ascii="Times New Roman" w:hAnsi="Times New Roman"/>
        </w:rPr>
        <w:t xml:space="preserve"> designate independent forensic and open-source investigation teams to verify incidents of protest repression, identify responsible units, map command responsibility, and preserve admissible evidence for targeted sanctions and future legal proceedings. This would analyse:</w:t>
      </w:r>
    </w:p>
    <w:p>
      <w:pPr>
        <w:pStyle w:val="BodyText"/>
        <w:numPr>
          <w:ilvl w:val="0"/>
          <w:numId w:val="4"/>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videos of protest repression; </w:t>
      </w:r>
    </w:p>
    <w:p>
      <w:pPr>
        <w:pStyle w:val="BodyText"/>
        <w:numPr>
          <w:ilvl w:val="0"/>
          <w:numId w:val="4"/>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facial/geolocation evidence; </w:t>
      </w:r>
    </w:p>
    <w:p>
      <w:pPr>
        <w:pStyle w:val="BodyText"/>
        <w:numPr>
          <w:ilvl w:val="0"/>
          <w:numId w:val="4"/>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chain-of-command links; </w:t>
      </w:r>
    </w:p>
    <w:p>
      <w:pPr>
        <w:pStyle w:val="BodyText"/>
        <w:numPr>
          <w:ilvl w:val="0"/>
          <w:numId w:val="4"/>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military or police units deployed against protesters; </w:t>
      </w:r>
    </w:p>
    <w:p>
      <w:pPr>
        <w:pStyle w:val="BodyText"/>
        <w:numPr>
          <w:ilvl w:val="0"/>
          <w:numId w:val="4"/>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prison facilities; </w:t>
      </w:r>
    </w:p>
    <w:p>
      <w:pPr>
        <w:pStyle w:val="BodyText"/>
        <w:numPr>
          <w:ilvl w:val="0"/>
          <w:numId w:val="4"/>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digital surveillance tools; </w:t>
      </w:r>
    </w:p>
    <w:p>
      <w:pPr>
        <w:pStyle w:val="BodyText"/>
        <w:numPr>
          <w:ilvl w:val="0"/>
          <w:numId w:val="4"/>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communications blackouts; </w:t>
      </w:r>
    </w:p>
    <w:p>
      <w:pPr>
        <w:pStyle w:val="BodyText"/>
        <w:numPr>
          <w:ilvl w:val="0"/>
          <w:numId w:val="4"/>
        </w:numPr>
        <w:tabs>
          <w:tab w:val="clear" w:pos="709"/>
          <w:tab w:val="left" w:pos="707" w:leader="none"/>
        </w:tabs>
        <w:bidi w:val="0"/>
        <w:ind w:hanging="283" w:start="707"/>
        <w:jc w:val="start"/>
        <w:rPr>
          <w:rFonts w:ascii="Times New Roman" w:hAnsi="Times New Roman"/>
        </w:rPr>
      </w:pPr>
      <w:r>
        <w:rPr>
          <w:rFonts w:ascii="Times New Roman" w:hAnsi="Times New Roman"/>
        </w:rPr>
        <w:t xml:space="preserve">death-in-custody patterns. </w:t>
      </w:r>
    </w:p>
    <w:p>
      <w:pPr>
        <w:pStyle w:val="Heading3"/>
        <w:bidi w:val="0"/>
        <w:jc w:val="start"/>
        <w:rPr>
          <w:rFonts w:ascii="Times New Roman" w:hAnsi="Times New Roman"/>
        </w:rPr>
      </w:pPr>
      <w:r>
        <w:rPr>
          <w:rFonts w:ascii="Times New Roman" w:hAnsi="Times New Roman"/>
        </w:rPr>
        <w:t>4. Prison accountability inquiry</w:t>
      </w:r>
    </w:p>
    <w:p>
      <w:pPr>
        <w:pStyle w:val="BodyText"/>
        <w:bidi w:val="0"/>
        <w:spacing w:lineRule="auto" w:line="276" w:before="0" w:after="140"/>
        <w:jc w:val="start"/>
        <w:rPr/>
      </w:pPr>
      <w:r>
        <w:rPr>
          <w:rStyle w:val="Strong"/>
          <w:rFonts w:ascii="Times New Roman" w:hAnsi="Times New Roman"/>
        </w:rPr>
        <w:t>EU Inquiry into Detention Facilities and Prison Command Responsibility</w:t>
      </w:r>
    </w:p>
    <w:p>
      <w:pPr>
        <w:pStyle w:val="BodyText"/>
        <w:bidi w:val="0"/>
        <w:jc w:val="both"/>
        <w:rPr>
          <w:rFonts w:ascii="Times New Roman" w:hAnsi="Times New Roman"/>
        </w:rPr>
      </w:pPr>
      <w:r>
        <w:rPr>
          <w:rFonts w:ascii="Times New Roman" w:hAnsi="Times New Roman"/>
        </w:rPr>
        <w:t xml:space="preserve">The EU </w:t>
      </w:r>
      <w:r>
        <w:rPr>
          <w:rFonts w:ascii="Times New Roman" w:hAnsi="Times New Roman"/>
        </w:rPr>
        <w:t>can</w:t>
      </w:r>
      <w:r>
        <w:rPr>
          <w:rFonts w:ascii="Times New Roman" w:hAnsi="Times New Roman"/>
        </w:rPr>
        <w:t xml:space="preserve"> open a dedicated inquiry </w:t>
      </w:r>
      <w:r>
        <w:rPr>
          <w:rFonts w:ascii="Times New Roman" w:hAnsi="Times New Roman"/>
        </w:rPr>
        <w:t xml:space="preserve">for access </w:t>
      </w:r>
      <w:r>
        <w:rPr>
          <w:rFonts w:ascii="Times New Roman" w:hAnsi="Times New Roman"/>
        </w:rPr>
        <w:t xml:space="preserve">into Iranian detention facilities </w:t>
      </w:r>
      <w:r>
        <w:rPr>
          <w:rFonts w:ascii="Times New Roman" w:hAnsi="Times New Roman"/>
        </w:rPr>
        <w:t xml:space="preserve">for inspection. Mostly for those </w:t>
      </w:r>
      <w:r>
        <w:rPr>
          <w:rFonts w:ascii="Times New Roman" w:hAnsi="Times New Roman"/>
        </w:rPr>
        <w:t>with particular attention to torture, sexual violence, denial of medical treatment, forced confessions, solitary confinement, and command responsibility of prison governors, interrogators, prosecutors, and supervising judges. This would focus on:</w:t>
      </w:r>
    </w:p>
    <w:p>
      <w:pPr>
        <w:pStyle w:val="BodyText"/>
        <w:numPr>
          <w:ilvl w:val="0"/>
          <w:numId w:val="5"/>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Evin Prison; </w:t>
      </w:r>
    </w:p>
    <w:p>
      <w:pPr>
        <w:pStyle w:val="BodyText"/>
        <w:numPr>
          <w:ilvl w:val="0"/>
          <w:numId w:val="5"/>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Qarchak Prison; </w:t>
      </w:r>
    </w:p>
    <w:p>
      <w:pPr>
        <w:pStyle w:val="BodyText"/>
        <w:numPr>
          <w:ilvl w:val="0"/>
          <w:numId w:val="5"/>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Greater Tehran Prison; </w:t>
      </w:r>
    </w:p>
    <w:p>
      <w:pPr>
        <w:pStyle w:val="BodyText"/>
        <w:numPr>
          <w:ilvl w:val="0"/>
          <w:numId w:val="5"/>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Revolutionary Court detention centres; </w:t>
      </w:r>
    </w:p>
    <w:p>
      <w:pPr>
        <w:pStyle w:val="BodyText"/>
        <w:numPr>
          <w:ilvl w:val="0"/>
          <w:numId w:val="5"/>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IRGC intelligence detention facilities; </w:t>
      </w:r>
    </w:p>
    <w:p>
      <w:pPr>
        <w:pStyle w:val="BodyText"/>
        <w:numPr>
          <w:ilvl w:val="0"/>
          <w:numId w:val="5"/>
        </w:numPr>
        <w:tabs>
          <w:tab w:val="clear" w:pos="709"/>
          <w:tab w:val="left" w:pos="707" w:leader="none"/>
        </w:tabs>
        <w:bidi w:val="0"/>
        <w:ind w:hanging="283" w:start="707"/>
        <w:jc w:val="start"/>
        <w:rPr>
          <w:rFonts w:ascii="Times New Roman" w:hAnsi="Times New Roman"/>
        </w:rPr>
      </w:pPr>
      <w:r>
        <w:rPr>
          <w:rFonts w:ascii="Times New Roman" w:hAnsi="Times New Roman"/>
        </w:rPr>
        <w:t xml:space="preserve">Ministry of Intelligence detention sites. </w:t>
      </w:r>
    </w:p>
    <w:p>
      <w:pPr>
        <w:pStyle w:val="Heading3"/>
        <w:bidi w:val="0"/>
        <w:jc w:val="start"/>
        <w:rPr>
          <w:rFonts w:ascii="Times New Roman" w:hAnsi="Times New Roman"/>
        </w:rPr>
      </w:pPr>
      <w:r>
        <w:rPr>
          <w:rFonts w:ascii="Times New Roman" w:hAnsi="Times New Roman"/>
        </w:rPr>
        <w:t>5</w:t>
      </w:r>
      <w:r>
        <w:rPr>
          <w:rFonts w:ascii="Times New Roman" w:hAnsi="Times New Roman"/>
        </w:rPr>
        <w:t>. Digital repression and surveillance investigation</w:t>
      </w:r>
    </w:p>
    <w:p>
      <w:pPr>
        <w:pStyle w:val="BodyText"/>
        <w:bidi w:val="0"/>
        <w:jc w:val="both"/>
        <w:rPr>
          <w:rFonts w:ascii="Times New Roman" w:hAnsi="Times New Roman"/>
        </w:rPr>
      </w:pPr>
      <w:r>
        <w:rPr>
          <w:rFonts w:ascii="Times New Roman" w:hAnsi="Times New Roman"/>
        </w:rPr>
        <w:t xml:space="preserve">We invite the </w:t>
      </w:r>
      <w:r>
        <w:rPr>
          <w:rFonts w:ascii="Times New Roman" w:hAnsi="Times New Roman"/>
        </w:rPr>
        <w:t xml:space="preserve">EU </w:t>
      </w:r>
      <w:r>
        <w:rPr>
          <w:rFonts w:ascii="Times New Roman" w:hAnsi="Times New Roman"/>
        </w:rPr>
        <w:t xml:space="preserve">to </w:t>
      </w:r>
      <w:r>
        <w:rPr>
          <w:rFonts w:ascii="Times New Roman" w:hAnsi="Times New Roman"/>
        </w:rPr>
        <w:t xml:space="preserve">investigate Iran’s digital repression architecture, including telecommunications monitoring, internet shutdowns, spyware deployment, biometric identification of protesters, and cyber operations against activists inside Iran and in the diaspora. This </w:t>
      </w:r>
      <w:r>
        <w:rPr>
          <w:rFonts w:ascii="Times New Roman" w:hAnsi="Times New Roman"/>
        </w:rPr>
        <w:t xml:space="preserve">argument </w:t>
      </w:r>
      <w:r>
        <w:rPr>
          <w:rFonts w:ascii="Times New Roman" w:hAnsi="Times New Roman"/>
        </w:rPr>
        <w:t xml:space="preserve">fits existing EU Iran sanctions, which already include restrictions on equipment used for internal repression and telecommunications monitoring. The EU </w:t>
      </w:r>
      <w:r>
        <w:rPr>
          <w:rFonts w:ascii="Times New Roman" w:hAnsi="Times New Roman"/>
        </w:rPr>
        <w:t>is advised to</w:t>
      </w:r>
      <w:r>
        <w:rPr>
          <w:rFonts w:ascii="Times New Roman" w:hAnsi="Times New Roman"/>
        </w:rPr>
        <w:t xml:space="preserve"> investigate companies, officials, and entities involved in:</w:t>
      </w:r>
    </w:p>
    <w:p>
      <w:pPr>
        <w:pStyle w:val="BodyText"/>
        <w:numPr>
          <w:ilvl w:val="0"/>
          <w:numId w:val="6"/>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internet shutdowns; </w:t>
      </w:r>
    </w:p>
    <w:p>
      <w:pPr>
        <w:pStyle w:val="BodyText"/>
        <w:numPr>
          <w:ilvl w:val="0"/>
          <w:numId w:val="6"/>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telecommunications monitoring; </w:t>
      </w:r>
    </w:p>
    <w:p>
      <w:pPr>
        <w:pStyle w:val="BodyText"/>
        <w:numPr>
          <w:ilvl w:val="0"/>
          <w:numId w:val="6"/>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spyware; </w:t>
      </w:r>
    </w:p>
    <w:p>
      <w:pPr>
        <w:pStyle w:val="BodyText"/>
        <w:numPr>
          <w:ilvl w:val="0"/>
          <w:numId w:val="6"/>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biometric identification of protesters; </w:t>
      </w:r>
    </w:p>
    <w:p>
      <w:pPr>
        <w:pStyle w:val="BodyText"/>
        <w:numPr>
          <w:ilvl w:val="0"/>
          <w:numId w:val="6"/>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surveillance of women and activists; </w:t>
      </w:r>
    </w:p>
    <w:p>
      <w:pPr>
        <w:pStyle w:val="BodyText"/>
        <w:numPr>
          <w:ilvl w:val="0"/>
          <w:numId w:val="6"/>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cyberattacks against diaspora activists; </w:t>
      </w:r>
    </w:p>
    <w:p>
      <w:pPr>
        <w:pStyle w:val="BodyText"/>
        <w:numPr>
          <w:ilvl w:val="0"/>
          <w:numId w:val="6"/>
        </w:numPr>
        <w:tabs>
          <w:tab w:val="clear" w:pos="709"/>
          <w:tab w:val="left" w:pos="707" w:leader="none"/>
        </w:tabs>
        <w:bidi w:val="0"/>
        <w:ind w:hanging="283" w:start="707"/>
        <w:jc w:val="start"/>
        <w:rPr>
          <w:rFonts w:ascii="Times New Roman" w:hAnsi="Times New Roman"/>
        </w:rPr>
      </w:pPr>
      <w:r>
        <w:rPr>
          <w:rFonts w:ascii="Times New Roman" w:hAnsi="Times New Roman"/>
        </w:rPr>
        <w:t xml:space="preserve">censorship infrastructure. </w:t>
      </w:r>
    </w:p>
    <w:p>
      <w:pPr>
        <w:pStyle w:val="Heading2"/>
        <w:bidi w:val="0"/>
        <w:jc w:val="center"/>
        <w:rPr>
          <w:rFonts w:ascii="Times New Roman" w:hAnsi="Times New Roman"/>
        </w:rPr>
      </w:pPr>
      <w:r>
        <w:rPr>
          <w:rFonts w:ascii="Times New Roman" w:hAnsi="Times New Roman"/>
        </w:rPr>
        <w:t xml:space="preserve">Targeted </w:t>
      </w:r>
      <w:r>
        <w:rPr>
          <w:rFonts w:ascii="Times New Roman" w:hAnsi="Times New Roman"/>
        </w:rPr>
        <w:t>A</w:t>
      </w:r>
      <w:r>
        <w:rPr>
          <w:rFonts w:ascii="Times New Roman" w:hAnsi="Times New Roman"/>
        </w:rPr>
        <w:t xml:space="preserve">ccountability </w:t>
      </w:r>
      <w:r>
        <w:rPr>
          <w:rFonts w:ascii="Times New Roman" w:hAnsi="Times New Roman"/>
        </w:rPr>
        <w:t>M</w:t>
      </w:r>
      <w:r>
        <w:rPr>
          <w:rFonts w:ascii="Times New Roman" w:hAnsi="Times New Roman"/>
        </w:rPr>
        <w:t xml:space="preserve">easures </w:t>
      </w:r>
      <w:r>
        <w:rPr>
          <w:rFonts w:ascii="Times New Roman" w:hAnsi="Times New Roman"/>
        </w:rPr>
        <w:t>&amp; Actions</w:t>
      </w:r>
    </w:p>
    <w:p>
      <w:pPr>
        <w:pStyle w:val="Heading3"/>
        <w:bidi w:val="0"/>
        <w:jc w:val="start"/>
        <w:rPr>
          <w:rFonts w:ascii="Times New Roman" w:hAnsi="Times New Roman"/>
        </w:rPr>
      </w:pPr>
      <w:r>
        <w:rPr>
          <w:rFonts w:ascii="Times New Roman" w:hAnsi="Times New Roman"/>
        </w:rPr>
        <w:t>1. Expanded targeted sanctions list</w:t>
      </w:r>
    </w:p>
    <w:p>
      <w:pPr>
        <w:pStyle w:val="BodyText"/>
        <w:bidi w:val="0"/>
        <w:jc w:val="both"/>
        <w:rPr>
          <w:rFonts w:ascii="Times New Roman" w:hAnsi="Times New Roman"/>
        </w:rPr>
      </w:pPr>
      <w:r>
        <w:rPr>
          <w:rFonts w:ascii="Times New Roman" w:hAnsi="Times New Roman"/>
        </w:rPr>
        <w:t>The EU should expand targeted restrictive measures against individuals and entities responsible for serious human-rights violations, including commanders, judges, prosecutors, prison authorities, intelligence officials, digital-surveillance entities, and those materially assisting repression. You can propose a new sanctions package against individuals and entities involved in:</w:t>
      </w:r>
    </w:p>
    <w:p>
      <w:pPr>
        <w:pStyle w:val="BodyText"/>
        <w:numPr>
          <w:ilvl w:val="0"/>
          <w:numId w:val="7"/>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protest killings; </w:t>
      </w:r>
    </w:p>
    <w:p>
      <w:pPr>
        <w:pStyle w:val="BodyText"/>
        <w:numPr>
          <w:ilvl w:val="0"/>
          <w:numId w:val="7"/>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torture; </w:t>
      </w:r>
    </w:p>
    <w:p>
      <w:pPr>
        <w:pStyle w:val="BodyText"/>
        <w:numPr>
          <w:ilvl w:val="0"/>
          <w:numId w:val="7"/>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prison rape and sexual violence; </w:t>
      </w:r>
    </w:p>
    <w:p>
      <w:pPr>
        <w:pStyle w:val="BodyText"/>
        <w:numPr>
          <w:ilvl w:val="0"/>
          <w:numId w:val="7"/>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executions; </w:t>
      </w:r>
    </w:p>
    <w:p>
      <w:pPr>
        <w:pStyle w:val="BodyText"/>
        <w:numPr>
          <w:ilvl w:val="0"/>
          <w:numId w:val="7"/>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forced confessions; </w:t>
      </w:r>
    </w:p>
    <w:p>
      <w:pPr>
        <w:pStyle w:val="BodyText"/>
        <w:numPr>
          <w:ilvl w:val="0"/>
          <w:numId w:val="7"/>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arbitrary detention; </w:t>
      </w:r>
    </w:p>
    <w:p>
      <w:pPr>
        <w:pStyle w:val="BodyText"/>
        <w:numPr>
          <w:ilvl w:val="0"/>
          <w:numId w:val="7"/>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digital surveillance; </w:t>
      </w:r>
    </w:p>
    <w:p>
      <w:pPr>
        <w:pStyle w:val="BodyText"/>
        <w:numPr>
          <w:ilvl w:val="0"/>
          <w:numId w:val="7"/>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censorship; </w:t>
      </w:r>
    </w:p>
    <w:p>
      <w:pPr>
        <w:pStyle w:val="BodyText"/>
        <w:numPr>
          <w:ilvl w:val="0"/>
          <w:numId w:val="7"/>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transnational repression; </w:t>
      </w:r>
    </w:p>
    <w:p>
      <w:pPr>
        <w:pStyle w:val="BodyText"/>
        <w:numPr>
          <w:ilvl w:val="0"/>
          <w:numId w:val="7"/>
        </w:numPr>
        <w:tabs>
          <w:tab w:val="clear" w:pos="709"/>
          <w:tab w:val="left" w:pos="707" w:leader="none"/>
        </w:tabs>
        <w:bidi w:val="0"/>
        <w:ind w:hanging="283" w:start="707"/>
        <w:jc w:val="start"/>
        <w:rPr>
          <w:rFonts w:ascii="Times New Roman" w:hAnsi="Times New Roman"/>
        </w:rPr>
      </w:pPr>
      <w:r>
        <w:rPr>
          <w:rFonts w:ascii="Times New Roman" w:hAnsi="Times New Roman"/>
        </w:rPr>
        <w:t xml:space="preserve">persecution of women, lawyers, journalists, students, and minorities. </w:t>
      </w:r>
    </w:p>
    <w:p>
      <w:pPr>
        <w:pStyle w:val="BodyText"/>
        <w:bidi w:val="0"/>
        <w:jc w:val="start"/>
        <w:rPr>
          <w:rFonts w:ascii="Times New Roman" w:hAnsi="Times New Roman"/>
        </w:rPr>
      </w:pPr>
      <w:r>
        <w:rPr>
          <w:rFonts w:ascii="Times New Roman" w:hAnsi="Times New Roman"/>
        </w:rPr>
        <w:t>Sanctions should include:</w:t>
      </w:r>
    </w:p>
    <w:p>
      <w:pPr>
        <w:pStyle w:val="BodyText"/>
        <w:numPr>
          <w:ilvl w:val="0"/>
          <w:numId w:val="8"/>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asset freezes; </w:t>
      </w:r>
    </w:p>
    <w:p>
      <w:pPr>
        <w:pStyle w:val="BodyText"/>
        <w:numPr>
          <w:ilvl w:val="0"/>
          <w:numId w:val="8"/>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travel bans; </w:t>
      </w:r>
    </w:p>
    <w:p>
      <w:pPr>
        <w:pStyle w:val="BodyText"/>
        <w:numPr>
          <w:ilvl w:val="0"/>
          <w:numId w:val="8"/>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prohibition on EU persons making funds or economic resources available; </w:t>
      </w:r>
    </w:p>
    <w:p>
      <w:pPr>
        <w:pStyle w:val="BodyText"/>
        <w:numPr>
          <w:ilvl w:val="0"/>
          <w:numId w:val="8"/>
        </w:numPr>
        <w:tabs>
          <w:tab w:val="clear" w:pos="709"/>
          <w:tab w:val="left" w:pos="707" w:leader="none"/>
        </w:tabs>
        <w:bidi w:val="0"/>
        <w:ind w:hanging="283" w:start="707"/>
        <w:jc w:val="start"/>
        <w:rPr>
          <w:rFonts w:ascii="Times New Roman" w:hAnsi="Times New Roman"/>
        </w:rPr>
      </w:pPr>
      <w:r>
        <w:rPr>
          <w:rFonts w:ascii="Times New Roman" w:hAnsi="Times New Roman"/>
        </w:rPr>
        <w:t xml:space="preserve">listing of entities, not only individuals. </w:t>
      </w:r>
    </w:p>
    <w:p>
      <w:pPr>
        <w:pStyle w:val="Heading3"/>
        <w:bidi w:val="0"/>
        <w:jc w:val="start"/>
        <w:rPr>
          <w:rFonts w:ascii="Times New Roman" w:hAnsi="Times New Roman"/>
        </w:rPr>
      </w:pPr>
      <w:r>
        <w:rPr>
          <w:rFonts w:ascii="Times New Roman" w:hAnsi="Times New Roman"/>
        </w:rPr>
        <w:t>2. Human-rights sanctions against family asset networks</w:t>
      </w:r>
    </w:p>
    <w:p>
      <w:pPr>
        <w:pStyle w:val="BodyText"/>
        <w:bidi w:val="0"/>
        <w:jc w:val="both"/>
        <w:rPr>
          <w:rFonts w:ascii="Times New Roman" w:hAnsi="Times New Roman"/>
        </w:rPr>
      </w:pPr>
      <w:r>
        <w:rPr>
          <w:rFonts w:ascii="Times New Roman" w:hAnsi="Times New Roman"/>
        </w:rPr>
        <w:t>We encourage the EU to</w:t>
      </w:r>
      <w:r>
        <w:rPr>
          <w:rFonts w:ascii="Times New Roman" w:hAnsi="Times New Roman"/>
        </w:rPr>
        <w:t xml:space="preserve"> impose visa restrictions on direct perpetrators and enabling officials, including those in the judiciary, prison system, intelligence services, security forces, state media, and digital-surveillance apparatus. Many officials hold assets indirectly through family members, nominees, front companies, and business partners. The EU can investigate associated persons where there is credible evidence of asset concealment or benefit from sanctioned conduct. The EU should investigate whether listed or listable Iranian officials hold assets in Europe through family members, nominees, corporate vehicles, real-estate structures, or trusted intermediaries, and should consider restrictive measures where such persons materially assist, benefit from, or enable sanctioned conduct.</w:t>
      </w:r>
    </w:p>
    <w:p>
      <w:pPr>
        <w:pStyle w:val="Heading3"/>
        <w:bidi w:val="0"/>
        <w:jc w:val="start"/>
        <w:rPr>
          <w:rFonts w:ascii="Times New Roman" w:hAnsi="Times New Roman"/>
        </w:rPr>
      </w:pPr>
      <w:r>
        <w:rPr>
          <w:rFonts w:ascii="Times New Roman" w:hAnsi="Times New Roman"/>
        </w:rPr>
        <w:t>3. Visa bans for perpetrators and enablers</w:t>
      </w:r>
    </w:p>
    <w:p>
      <w:pPr>
        <w:pStyle w:val="BodyText"/>
        <w:bidi w:val="0"/>
        <w:jc w:val="start"/>
        <w:rPr>
          <w:rFonts w:ascii="Times New Roman" w:hAnsi="Times New Roman"/>
        </w:rPr>
      </w:pPr>
      <w:r>
        <w:rPr>
          <w:rFonts w:ascii="Times New Roman" w:hAnsi="Times New Roman"/>
        </w:rPr>
        <w:t>Not only senior officials. Include:</w:t>
      </w:r>
    </w:p>
    <w:p>
      <w:pPr>
        <w:pStyle w:val="BodyText"/>
        <w:numPr>
          <w:ilvl w:val="0"/>
          <w:numId w:val="9"/>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judges; </w:t>
      </w:r>
    </w:p>
    <w:p>
      <w:pPr>
        <w:pStyle w:val="BodyText"/>
        <w:numPr>
          <w:ilvl w:val="0"/>
          <w:numId w:val="9"/>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prosecutors; </w:t>
      </w:r>
    </w:p>
    <w:p>
      <w:pPr>
        <w:pStyle w:val="BodyText"/>
        <w:numPr>
          <w:ilvl w:val="0"/>
          <w:numId w:val="9"/>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interrogators; </w:t>
      </w:r>
    </w:p>
    <w:p>
      <w:pPr>
        <w:pStyle w:val="BodyText"/>
        <w:numPr>
          <w:ilvl w:val="0"/>
          <w:numId w:val="9"/>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prison governors; </w:t>
      </w:r>
    </w:p>
    <w:p>
      <w:pPr>
        <w:pStyle w:val="BodyText"/>
        <w:numPr>
          <w:ilvl w:val="0"/>
          <w:numId w:val="9"/>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IRGC and Basij commanders; </w:t>
      </w:r>
    </w:p>
    <w:p>
      <w:pPr>
        <w:pStyle w:val="BodyText"/>
        <w:numPr>
          <w:ilvl w:val="0"/>
          <w:numId w:val="9"/>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morality-police commanders; </w:t>
      </w:r>
    </w:p>
    <w:p>
      <w:pPr>
        <w:pStyle w:val="BodyText"/>
        <w:numPr>
          <w:ilvl w:val="0"/>
          <w:numId w:val="9"/>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cyber-surveillance officials; </w:t>
      </w:r>
    </w:p>
    <w:p>
      <w:pPr>
        <w:pStyle w:val="BodyText"/>
        <w:numPr>
          <w:ilvl w:val="0"/>
          <w:numId w:val="9"/>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state-media officials involved in forced confessions; </w:t>
      </w:r>
    </w:p>
    <w:p>
      <w:pPr>
        <w:pStyle w:val="BodyText"/>
        <w:numPr>
          <w:ilvl w:val="0"/>
          <w:numId w:val="9"/>
        </w:numPr>
        <w:tabs>
          <w:tab w:val="clear" w:pos="709"/>
          <w:tab w:val="left" w:pos="707" w:leader="none"/>
        </w:tabs>
        <w:bidi w:val="0"/>
        <w:ind w:hanging="283" w:start="707"/>
        <w:jc w:val="start"/>
        <w:rPr>
          <w:rFonts w:ascii="Times New Roman" w:hAnsi="Times New Roman"/>
        </w:rPr>
      </w:pPr>
      <w:r>
        <w:rPr>
          <w:rFonts w:ascii="Times New Roman" w:hAnsi="Times New Roman"/>
        </w:rPr>
        <w:t>family members who knowingly benefit from illicit assets.</w:t>
      </w:r>
    </w:p>
    <w:p>
      <w:pPr>
        <w:pStyle w:val="Heading3"/>
        <w:bidi w:val="0"/>
        <w:jc w:val="start"/>
        <w:rPr>
          <w:rFonts w:ascii="Times New Roman" w:hAnsi="Times New Roman"/>
        </w:rPr>
      </w:pPr>
      <w:r>
        <w:rPr>
          <w:rFonts w:ascii="Times New Roman" w:hAnsi="Times New Roman"/>
        </w:rPr>
        <w:t>4. Sanctions against state media involved in forced confessions</w:t>
      </w:r>
    </w:p>
    <w:p>
      <w:pPr>
        <w:pStyle w:val="BodyText"/>
        <w:bidi w:val="0"/>
        <w:jc w:val="both"/>
        <w:rPr>
          <w:rFonts w:ascii="Times New Roman" w:hAnsi="Times New Roman"/>
        </w:rPr>
      </w:pPr>
      <w:r>
        <w:rPr>
          <w:rFonts w:ascii="Times New Roman" w:hAnsi="Times New Roman"/>
        </w:rPr>
        <w:t xml:space="preserve">We propose </w:t>
      </w:r>
      <w:r>
        <w:rPr>
          <w:rFonts w:ascii="Times New Roman" w:hAnsi="Times New Roman"/>
        </w:rPr>
        <w:t xml:space="preserve">accountability for media officials and entities involved in broadcasting forced confessions, defamation campaigns, and incitement against protesters. The EU </w:t>
      </w:r>
      <w:r>
        <w:rPr>
          <w:rFonts w:ascii="Times New Roman" w:hAnsi="Times New Roman"/>
        </w:rPr>
        <w:t>can</w:t>
      </w:r>
      <w:r>
        <w:rPr>
          <w:rFonts w:ascii="Times New Roman" w:hAnsi="Times New Roman"/>
        </w:rPr>
        <w:t xml:space="preserve"> consider targeted measures against state-media entities and officials involved in broadcasting forced confessions, inciting violence against protesters, or participating in defamatory campaigns that facilitate arbitrary detention and persecution.</w:t>
      </w:r>
    </w:p>
    <w:p>
      <w:pPr>
        <w:pStyle w:val="Heading3"/>
        <w:bidi w:val="0"/>
        <w:jc w:val="start"/>
        <w:rPr>
          <w:rFonts w:ascii="Times New Roman" w:hAnsi="Times New Roman"/>
        </w:rPr>
      </w:pPr>
      <w:r>
        <w:rPr>
          <w:rFonts w:ascii="Times New Roman" w:hAnsi="Times New Roman"/>
        </w:rPr>
        <w:t>5. EU procurement and export-control restrictions</w:t>
      </w:r>
    </w:p>
    <w:p>
      <w:pPr>
        <w:pStyle w:val="BodyText"/>
        <w:bidi w:val="0"/>
        <w:jc w:val="both"/>
        <w:rPr>
          <w:rFonts w:ascii="Times New Roman" w:hAnsi="Times New Roman"/>
        </w:rPr>
      </w:pPr>
      <w:r>
        <w:rPr>
          <w:rFonts w:ascii="Times New Roman" w:hAnsi="Times New Roman"/>
        </w:rPr>
        <w:t>The EU should strengthen export controls and procurement prohibitions relating to surveillance technology, cyber tools, telecommunications monitoring, crowd-control equipment, and dual-use goods that may facilitate internal repression. Propose restrictions on exports to Iranian entities linked to repression, especially:</w:t>
      </w:r>
    </w:p>
    <w:p>
      <w:pPr>
        <w:pStyle w:val="BodyText"/>
        <w:numPr>
          <w:ilvl w:val="0"/>
          <w:numId w:val="10"/>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surveillance technology; </w:t>
      </w:r>
    </w:p>
    <w:p>
      <w:pPr>
        <w:pStyle w:val="BodyText"/>
        <w:numPr>
          <w:ilvl w:val="0"/>
          <w:numId w:val="10"/>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facial-recognition systems; </w:t>
      </w:r>
    </w:p>
    <w:p>
      <w:pPr>
        <w:pStyle w:val="BodyText"/>
        <w:numPr>
          <w:ilvl w:val="0"/>
          <w:numId w:val="10"/>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cyber tools; </w:t>
      </w:r>
    </w:p>
    <w:p>
      <w:pPr>
        <w:pStyle w:val="BodyText"/>
        <w:numPr>
          <w:ilvl w:val="0"/>
          <w:numId w:val="10"/>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telecom interception equipment; </w:t>
      </w:r>
    </w:p>
    <w:p>
      <w:pPr>
        <w:pStyle w:val="BodyText"/>
        <w:numPr>
          <w:ilvl w:val="0"/>
          <w:numId w:val="10"/>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crowd-control equipment; </w:t>
      </w:r>
    </w:p>
    <w:p>
      <w:pPr>
        <w:pStyle w:val="BodyText"/>
        <w:numPr>
          <w:ilvl w:val="0"/>
          <w:numId w:val="10"/>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prison-control equipment; </w:t>
      </w:r>
    </w:p>
    <w:p>
      <w:pPr>
        <w:pStyle w:val="BodyText"/>
        <w:numPr>
          <w:ilvl w:val="0"/>
          <w:numId w:val="10"/>
        </w:numPr>
        <w:tabs>
          <w:tab w:val="clear" w:pos="709"/>
          <w:tab w:val="left" w:pos="707" w:leader="none"/>
        </w:tabs>
        <w:bidi w:val="0"/>
        <w:ind w:hanging="283" w:start="707"/>
        <w:jc w:val="start"/>
        <w:rPr>
          <w:rFonts w:ascii="Times New Roman" w:hAnsi="Times New Roman"/>
        </w:rPr>
      </w:pPr>
      <w:r>
        <w:rPr>
          <w:rFonts w:ascii="Times New Roman" w:hAnsi="Times New Roman"/>
        </w:rPr>
        <w:t xml:space="preserve">dual-use goods used by security forces. </w:t>
      </w:r>
    </w:p>
    <w:p>
      <w:pPr>
        <w:pStyle w:val="Heading3"/>
        <w:bidi w:val="0"/>
        <w:jc w:val="start"/>
        <w:rPr>
          <w:rFonts w:ascii="Times New Roman" w:hAnsi="Times New Roman"/>
        </w:rPr>
      </w:pPr>
      <w:r>
        <w:rPr>
          <w:rFonts w:ascii="Times New Roman" w:hAnsi="Times New Roman"/>
        </w:rPr>
        <w:t>6. Human-rights due-diligence warning to European companies</w:t>
      </w:r>
    </w:p>
    <w:p>
      <w:pPr>
        <w:pStyle w:val="BodyText"/>
        <w:bidi w:val="0"/>
        <w:jc w:val="both"/>
        <w:rPr>
          <w:rFonts w:ascii="Times New Roman" w:hAnsi="Times New Roman"/>
        </w:rPr>
      </w:pPr>
      <w:r>
        <w:rPr>
          <w:rFonts w:ascii="Times New Roman" w:hAnsi="Times New Roman"/>
        </w:rPr>
        <w:t xml:space="preserve">The EU can issue guidance warning European companies not to supply goods, software, technology, consulting, financing, or technical services that may assist repression. </w:t>
      </w:r>
      <w:r>
        <w:rPr>
          <w:rFonts w:ascii="Times New Roman" w:hAnsi="Times New Roman"/>
        </w:rPr>
        <w:t>Hence, t</w:t>
      </w:r>
      <w:r>
        <w:rPr>
          <w:rFonts w:ascii="Times New Roman" w:hAnsi="Times New Roman"/>
        </w:rPr>
        <w:t>he EU should issue a human-rights due-diligence advisory to European companies, financial institutions, technology providers, and professional-service firms, warning against transactions that may contribute to surveillance, censorship, repression, prison infrastructure, or sanctions evasion.</w:t>
      </w:r>
    </w:p>
    <w:p>
      <w:pPr>
        <w:pStyle w:val="Heading3"/>
        <w:bidi w:val="0"/>
        <w:jc w:val="start"/>
        <w:rPr>
          <w:rFonts w:ascii="Times New Roman" w:hAnsi="Times New Roman"/>
        </w:rPr>
      </w:pPr>
      <w:r>
        <w:rPr>
          <w:rFonts w:ascii="Times New Roman" w:hAnsi="Times New Roman"/>
        </w:rPr>
        <w:t>7. Asset-tracing task force</w:t>
      </w:r>
    </w:p>
    <w:p>
      <w:pPr>
        <w:pStyle w:val="BodyText"/>
        <w:bidi w:val="0"/>
        <w:jc w:val="both"/>
        <w:rPr>
          <w:rFonts w:ascii="Times New Roman" w:hAnsi="Times New Roman"/>
        </w:rPr>
      </w:pPr>
      <w:r>
        <w:rPr>
          <w:rFonts w:ascii="Times New Roman" w:hAnsi="Times New Roman"/>
        </w:rPr>
        <w:t>The EU is advised to create or mandate an asset-tracing task force to identify assets connected to Iranian officials responsible for serious human-rights violations, including real estate, corporate holdings, luxury assets, bank accounts, and beneficial ownership structures within EU Member States. We</w:t>
      </w:r>
      <w:r>
        <w:rPr>
          <w:rFonts w:ascii="Times New Roman" w:hAnsi="Times New Roman"/>
        </w:rPr>
        <w:t xml:space="preserve"> propose cooperation between:</w:t>
      </w:r>
    </w:p>
    <w:p>
      <w:pPr>
        <w:pStyle w:val="BodyText"/>
        <w:numPr>
          <w:ilvl w:val="0"/>
          <w:numId w:val="11"/>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EU Financial Intelligence Units; </w:t>
      </w:r>
    </w:p>
    <w:p>
      <w:pPr>
        <w:pStyle w:val="BodyText"/>
        <w:numPr>
          <w:ilvl w:val="0"/>
          <w:numId w:val="11"/>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Europol; </w:t>
      </w:r>
    </w:p>
    <w:p>
      <w:pPr>
        <w:pStyle w:val="BodyText"/>
        <w:numPr>
          <w:ilvl w:val="0"/>
          <w:numId w:val="11"/>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national prosecutors; </w:t>
      </w:r>
    </w:p>
    <w:p>
      <w:pPr>
        <w:pStyle w:val="BodyText"/>
        <w:numPr>
          <w:ilvl w:val="0"/>
          <w:numId w:val="11"/>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sanctions authorities; </w:t>
      </w:r>
    </w:p>
    <w:p>
      <w:pPr>
        <w:pStyle w:val="BodyText"/>
        <w:numPr>
          <w:ilvl w:val="0"/>
          <w:numId w:val="11"/>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anti-money laundering supervisors; </w:t>
      </w:r>
    </w:p>
    <w:p>
      <w:pPr>
        <w:pStyle w:val="BodyText"/>
        <w:numPr>
          <w:ilvl w:val="0"/>
          <w:numId w:val="11"/>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land registries; </w:t>
      </w:r>
    </w:p>
    <w:p>
      <w:pPr>
        <w:pStyle w:val="BodyText"/>
        <w:numPr>
          <w:ilvl w:val="0"/>
          <w:numId w:val="11"/>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company registries; </w:t>
      </w:r>
    </w:p>
    <w:p>
      <w:pPr>
        <w:pStyle w:val="BodyText"/>
        <w:numPr>
          <w:ilvl w:val="0"/>
          <w:numId w:val="11"/>
        </w:numPr>
        <w:tabs>
          <w:tab w:val="clear" w:pos="709"/>
          <w:tab w:val="left" w:pos="707" w:leader="none"/>
        </w:tabs>
        <w:bidi w:val="0"/>
        <w:ind w:hanging="283" w:start="707"/>
        <w:jc w:val="start"/>
        <w:rPr>
          <w:rFonts w:ascii="Times New Roman" w:hAnsi="Times New Roman"/>
        </w:rPr>
      </w:pPr>
      <w:r>
        <w:rPr>
          <w:rFonts w:ascii="Times New Roman" w:hAnsi="Times New Roman"/>
        </w:rPr>
        <w:t xml:space="preserve">beneficial ownership registers. </w:t>
      </w:r>
    </w:p>
    <w:p>
      <w:pPr>
        <w:pStyle w:val="Heading3"/>
        <w:bidi w:val="0"/>
        <w:jc w:val="start"/>
        <w:rPr>
          <w:rFonts w:ascii="Times New Roman" w:hAnsi="Times New Roman"/>
        </w:rPr>
      </w:pPr>
      <w:r>
        <w:rPr>
          <w:rFonts w:ascii="Times New Roman" w:hAnsi="Times New Roman"/>
        </w:rPr>
        <w:t>8. Universal jurisdiction referral support</w:t>
      </w:r>
    </w:p>
    <w:p>
      <w:pPr>
        <w:pStyle w:val="BodyText"/>
        <w:bidi w:val="0"/>
        <w:jc w:val="both"/>
        <w:rPr>
          <w:rFonts w:ascii="Times New Roman" w:hAnsi="Times New Roman"/>
        </w:rPr>
      </w:pPr>
      <w:r>
        <w:rPr>
          <w:rFonts w:ascii="Times New Roman" w:hAnsi="Times New Roman"/>
        </w:rPr>
        <w:t xml:space="preserve">Some EU Member States can prosecute torture, crimes against humanity, or war crimes under universal jurisdiction, depending on domestic law. </w:t>
      </w:r>
      <w:r>
        <w:rPr>
          <w:rFonts w:ascii="Times New Roman" w:hAnsi="Times New Roman"/>
        </w:rPr>
        <w:t xml:space="preserve">We </w:t>
      </w:r>
      <w:r>
        <w:rPr>
          <w:rFonts w:ascii="Times New Roman" w:hAnsi="Times New Roman"/>
        </w:rPr>
        <w:t>propose EU support for case files that may be referred to national prosecutors. The EU should support the preparation of legally structured case files for referral to competent national prosecutors in Member States where universal-jurisdiction laws may permit investigation of torture, crimes against humanity, enforced disappearance, or other serious international crimes.</w:t>
      </w:r>
    </w:p>
    <w:p>
      <w:pPr>
        <w:pStyle w:val="Heading3"/>
        <w:bidi w:val="0"/>
        <w:jc w:val="start"/>
        <w:rPr>
          <w:rFonts w:ascii="Times New Roman" w:hAnsi="Times New Roman"/>
        </w:rPr>
      </w:pPr>
      <w:r>
        <w:rPr>
          <w:rFonts w:ascii="Times New Roman" w:hAnsi="Times New Roman"/>
        </w:rPr>
        <w:t>9. Accountability for sexual violence in detention</w:t>
      </w:r>
    </w:p>
    <w:p>
      <w:pPr>
        <w:pStyle w:val="BodyText"/>
        <w:bidi w:val="0"/>
        <w:jc w:val="both"/>
        <w:rPr>
          <w:rFonts w:ascii="Times New Roman" w:hAnsi="Times New Roman"/>
        </w:rPr>
      </w:pPr>
      <w:r>
        <w:rPr>
          <w:rFonts w:ascii="Times New Roman" w:hAnsi="Times New Roman"/>
        </w:rPr>
        <w:t>The EU has used sanctions in relation to gender-based violence and sexual abuse, including against an Iranian prison facility. The EU should treat rape and sexual violence in detention as a priority accountability category, investigate responsible prison and security officials, protect survivors and witnesses, and consider targeted measures against individuals and entities implicated in sexual violence, gender persecution, and torture.</w:t>
      </w:r>
    </w:p>
    <w:p>
      <w:pPr>
        <w:pStyle w:val="Heading3"/>
        <w:bidi w:val="0"/>
        <w:jc w:val="start"/>
        <w:rPr>
          <w:rFonts w:ascii="Times New Roman" w:hAnsi="Times New Roman"/>
        </w:rPr>
      </w:pPr>
      <w:r>
        <w:rPr>
          <w:rFonts w:ascii="Times New Roman" w:hAnsi="Times New Roman"/>
        </w:rPr>
        <w:t>10. Diplomatic review and persona non grata measures</w:t>
      </w:r>
    </w:p>
    <w:p>
      <w:pPr>
        <w:pStyle w:val="BodyText"/>
        <w:bidi w:val="0"/>
        <w:jc w:val="start"/>
        <w:rPr>
          <w:rFonts w:ascii="Times New Roman" w:hAnsi="Times New Roman"/>
        </w:rPr>
      </w:pPr>
      <w:r>
        <w:rPr>
          <w:rFonts w:ascii="Times New Roman" w:hAnsi="Times New Roman"/>
        </w:rPr>
        <w:t xml:space="preserve">Under the Vienna Convention on Diplomatic Relations, diplomats must respect the laws of the receiving state and must not interfere in its internal affairs; receiving states may also declare diplomats persona non grata. </w:t>
      </w:r>
      <w:r>
        <w:rPr>
          <w:rFonts w:ascii="Times New Roman" w:hAnsi="Times New Roman"/>
        </w:rPr>
        <w:t>This could be considered as</w:t>
      </w:r>
      <w:r>
        <w:rPr>
          <w:rFonts w:ascii="Times New Roman" w:hAnsi="Times New Roman"/>
        </w:rPr>
        <w:t xml:space="preserve"> a targeted diplomatic measure, </w:t>
      </w:r>
      <w:r>
        <w:rPr>
          <w:rFonts w:ascii="Times New Roman" w:hAnsi="Times New Roman"/>
        </w:rPr>
        <w:t xml:space="preserve">and </w:t>
      </w:r>
      <w:r>
        <w:rPr>
          <w:rFonts w:ascii="Times New Roman" w:hAnsi="Times New Roman"/>
        </w:rPr>
        <w:t>not a blanket accusation. The EU and Member States should conduct a coordinated diplomatic-security review of Iranian diplomatic activity in Europe, particularly where credible indicators suggest surveillance, intimidation, facilitation of transnational repression, or misuse of diplomatic privileges. Where warranted, Member States should consider persona non grata measures in accordance with the Vienna Convention on Diplomatic Relations.</w:t>
      </w:r>
    </w:p>
    <w:p>
      <w:pPr>
        <w:pStyle w:val="Heading1"/>
        <w:bidi w:val="0"/>
        <w:jc w:val="center"/>
        <w:rPr>
          <w:rFonts w:ascii="Times New Roman" w:hAnsi="Times New Roman"/>
          <w:sz w:val="30"/>
          <w:szCs w:val="30"/>
        </w:rPr>
      </w:pPr>
      <w:r>
        <w:rPr>
          <w:rFonts w:ascii="Times New Roman" w:hAnsi="Times New Roman"/>
          <w:sz w:val="30"/>
          <w:szCs w:val="30"/>
        </w:rPr>
        <w:t>Engagement with Transitional Leadership</w:t>
      </w:r>
    </w:p>
    <w:p>
      <w:pPr>
        <w:pStyle w:val="Heading2"/>
        <w:bidi w:val="0"/>
        <w:jc w:val="start"/>
        <w:rPr>
          <w:rFonts w:ascii="Times New Roman" w:hAnsi="Times New Roman"/>
          <w:sz w:val="30"/>
          <w:szCs w:val="30"/>
        </w:rPr>
      </w:pPr>
      <w:r>
        <w:rPr>
          <w:rFonts w:ascii="Times New Roman" w:hAnsi="Times New Roman"/>
          <w:sz w:val="30"/>
          <w:szCs w:val="30"/>
        </w:rPr>
        <w:t xml:space="preserve">Historical </w:t>
      </w:r>
      <w:r>
        <w:rPr>
          <w:rFonts w:ascii="Times New Roman" w:hAnsi="Times New Roman"/>
          <w:sz w:val="30"/>
          <w:szCs w:val="30"/>
        </w:rPr>
        <w:t xml:space="preserve">roadmap  </w:t>
      </w:r>
    </w:p>
    <w:p>
      <w:pPr>
        <w:pStyle w:val="BodyText"/>
        <w:bidi w:val="0"/>
        <w:jc w:val="both"/>
        <w:rPr>
          <w:rFonts w:ascii="Times New Roman" w:hAnsi="Times New Roman"/>
          <w:sz w:val="24"/>
          <w:szCs w:val="24"/>
        </w:rPr>
      </w:pPr>
      <w:r>
        <w:rPr>
          <w:rFonts w:ascii="Times New Roman" w:hAnsi="Times New Roman"/>
          <w:sz w:val="24"/>
          <w:szCs w:val="24"/>
        </w:rPr>
        <w:t>Historical transitions show that legitimate transitional leadership often emerges outside the formal structure of an authoritarian state. Václav Havel in Czechoslovakia became a central transitional figure not because he controlled the communist state apparatus, but because he embodied civic resistance, democratic credibility, and public trust. His authority was later constitutionalised through political transition and institutional confirmation. The same principle may apply where an authoritarian regime loses legitimacy and a credible democratic figure undertakes to guide not own the transition. The legal lesson is that transitional legitimacy may arise from a combination of public trust, democratic commitment, moral authority, international engagement, and eventual electoral confirmation. It does not require the prior consent of the collapsing authoritarian regime.</w:t>
      </w:r>
    </w:p>
    <w:p>
      <w:pPr>
        <w:pStyle w:val="Heading2"/>
        <w:bidi w:val="0"/>
        <w:jc w:val="start"/>
        <w:rPr>
          <w:rFonts w:ascii="Times New Roman" w:hAnsi="Times New Roman"/>
          <w:sz w:val="30"/>
          <w:szCs w:val="30"/>
        </w:rPr>
      </w:pPr>
      <w:r>
        <w:rPr>
          <w:rFonts w:ascii="Times New Roman" w:hAnsi="Times New Roman"/>
          <w:sz w:val="30"/>
          <w:szCs w:val="30"/>
        </w:rPr>
        <w:t>Legal and Policy Argument</w:t>
      </w:r>
    </w:p>
    <w:p>
      <w:pPr>
        <w:pStyle w:val="BodyText"/>
        <w:bidi w:val="0"/>
        <w:jc w:val="both"/>
        <w:rPr>
          <w:rFonts w:ascii="Times New Roman" w:hAnsi="Times New Roman"/>
        </w:rPr>
      </w:pPr>
      <w:r>
        <w:rPr>
          <w:rFonts w:ascii="Times New Roman" w:hAnsi="Times New Roman"/>
        </w:rPr>
        <w:t xml:space="preserve">The European Union </w:t>
      </w:r>
      <w:r>
        <w:rPr>
          <w:rFonts w:ascii="Times New Roman" w:hAnsi="Times New Roman"/>
        </w:rPr>
        <w:t>can</w:t>
      </w:r>
      <w:r>
        <w:rPr>
          <w:rFonts w:ascii="Times New Roman" w:hAnsi="Times New Roman"/>
        </w:rPr>
        <w:t xml:space="preserve"> adopt a structured policy of engagement with credible Iranian transitional leadership figures and democratic opposition platforms where such actors demonstrate public support, commitment to non-violence, respect for Iran’s territorial integrity, adherence to secular democratic principles, and a clear undertaking that Iran’s future political order must be determined through free and fair elections.</w:t>
      </w:r>
    </w:p>
    <w:p>
      <w:pPr>
        <w:pStyle w:val="BodyText"/>
        <w:bidi w:val="0"/>
        <w:jc w:val="both"/>
        <w:rPr>
          <w:rFonts w:ascii="Times New Roman" w:hAnsi="Times New Roman"/>
        </w:rPr>
      </w:pPr>
      <w:r>
        <w:rPr>
          <w:rFonts w:ascii="Times New Roman" w:hAnsi="Times New Roman"/>
        </w:rPr>
        <w:t xml:space="preserve">This position is legally defensible because international law does not require the European Union to treat the incumbent ruling apparatus of a state as the only legitimate political interlocutor where that apparatus has lost representative credibility through systematic repression. While the principle of sovereign equality remains central to international law, sovereignty belongs to the state and the people, not permanently to a particular ruling elite. Article 1 of the International Covenant on Civil and Political Rights affirms that all peoples have the right of self-determination and may freely determine their political status. Article 25 further protects the right of citizens to take part in public affairs and to vote and be elected in genuine periodic elections. Iran is a party to the ICCPR and is therefore bound by these obligations. </w:t>
      </w:r>
    </w:p>
    <w:p>
      <w:pPr>
        <w:pStyle w:val="BodyText"/>
        <w:bidi w:val="0"/>
        <w:jc w:val="both"/>
        <w:rPr>
          <w:rFonts w:ascii="Times New Roman" w:hAnsi="Times New Roman"/>
        </w:rPr>
      </w:pPr>
      <w:r>
        <w:rPr>
          <w:rFonts w:ascii="Times New Roman" w:hAnsi="Times New Roman"/>
        </w:rPr>
        <w:t xml:space="preserve">The European Union’s own constitutional framework supports such engagement. Article 21 of the Treaty on European Union requires the Union’s external action to be guided by democracy, the rule of law, human rights, human dignity, equality, solidarity, the principles of the United Nations Charter, and international law. It further requires the Union to consolidate and support democracy, the rule of law, human rights, and the principles of international law in its external relations. </w:t>
      </w:r>
    </w:p>
    <w:p>
      <w:pPr>
        <w:pStyle w:val="BodyText"/>
        <w:bidi w:val="0"/>
        <w:jc w:val="both"/>
        <w:rPr>
          <w:rFonts w:ascii="Times New Roman" w:hAnsi="Times New Roman"/>
        </w:rPr>
      </w:pPr>
      <w:r>
        <w:rPr>
          <w:rFonts w:ascii="Times New Roman" w:hAnsi="Times New Roman"/>
        </w:rPr>
        <w:t>Accordingly, engagement with transitional leadership is not an unlawful interference in Iran’s sovereignty where it is framed as support for the Iranian people’s right to self-determination, democratic participation, and future constitutional choice. The distinction is essential: the EU should not appoint Iran’s future ruler, impose a constitutional model, or pre-determine monarchy, republic, federalism, or any other form of government. Rather, the EU may lawfully engage with credible transitional figures who commit themselves to a temporary, democratic, rights-based process ending in ballots, constitutional choice, and civilian rule.</w:t>
      </w:r>
    </w:p>
    <w:p>
      <w:pPr>
        <w:pStyle w:val="BodyText"/>
        <w:bidi w:val="0"/>
        <w:jc w:val="both"/>
        <w:rPr>
          <w:rFonts w:ascii="Times New Roman" w:hAnsi="Times New Roman"/>
        </w:rPr>
      </w:pPr>
      <w:r>
        <w:rPr>
          <w:rFonts w:ascii="Times New Roman" w:hAnsi="Times New Roman"/>
        </w:rPr>
        <w:t xml:space="preserve">In that context, Mr. Reza Pahlavi may be treated as a principal democratic transitional interlocutor rather than as a pre-appointed head of state. This formulation is legally stronger and politically more acceptable. It recognises his symbolic standing, public visibility, </w:t>
      </w:r>
      <w:r>
        <w:rPr>
          <w:rFonts w:ascii="Times New Roman" w:hAnsi="Times New Roman"/>
        </w:rPr>
        <w:t xml:space="preserve">majority of local Iranians as well as </w:t>
      </w:r>
      <w:r>
        <w:rPr>
          <w:rFonts w:ascii="Times New Roman" w:hAnsi="Times New Roman"/>
        </w:rPr>
        <w:t xml:space="preserve">diaspora support, and declared transitional role, while preserving the decisive principle that Iran’s future government must be chosen by the Iranian people. Recent European political attention towards Mr. Pahlavi, including reported consideration of engagement at the European Parliament and his intensified political activity in Europe, demonstrates that the question of transitional leadership is already entering the European policy space. </w:t>
      </w:r>
    </w:p>
    <w:p>
      <w:pPr>
        <w:pStyle w:val="BodyText"/>
        <w:bidi w:val="0"/>
        <w:jc w:val="both"/>
        <w:rPr>
          <w:rFonts w:ascii="Times New Roman" w:hAnsi="Times New Roman"/>
        </w:rPr>
      </w:pPr>
      <w:r>
        <w:rPr>
          <w:rFonts w:ascii="Times New Roman" w:hAnsi="Times New Roman"/>
        </w:rPr>
        <w:t>The European Parliament may therefore recommend a formal framework for democratic opposition engagement. Such a framework should include meetings, hearings, policy consultations, protective engagement with Iranian civil society, and structured dialogue with transitional figures, women’s movements, labour representatives, students, lawyers, human-rights defenders, ethnic and religious minorities, and diaspora networks. The objective should be to identify and support a credible democratic transition architecture, not to create a foreign-imposed authority.</w:t>
      </w:r>
    </w:p>
    <w:p>
      <w:pPr>
        <w:pStyle w:val="Heading2"/>
        <w:bidi w:val="0"/>
        <w:jc w:val="start"/>
        <w:rPr>
          <w:rFonts w:ascii="Times New Roman" w:hAnsi="Times New Roman"/>
        </w:rPr>
      </w:pPr>
      <w:r>
        <w:rPr>
          <w:rFonts w:ascii="Times New Roman" w:hAnsi="Times New Roman"/>
        </w:rPr>
        <w:t>Proposed Standard for EU Engagement</w:t>
      </w:r>
    </w:p>
    <w:p>
      <w:pPr>
        <w:pStyle w:val="BodyText"/>
        <w:bidi w:val="0"/>
        <w:jc w:val="start"/>
        <w:rPr>
          <w:rFonts w:ascii="Times New Roman" w:hAnsi="Times New Roman"/>
        </w:rPr>
      </w:pPr>
      <w:r>
        <w:rPr>
          <w:rFonts w:ascii="Times New Roman" w:hAnsi="Times New Roman"/>
        </w:rPr>
        <w:t xml:space="preserve">The European Union </w:t>
      </w:r>
      <w:r>
        <w:rPr>
          <w:rFonts w:ascii="Times New Roman" w:hAnsi="Times New Roman"/>
        </w:rPr>
        <w:t>can</w:t>
      </w:r>
      <w:r>
        <w:rPr>
          <w:rFonts w:ascii="Times New Roman" w:hAnsi="Times New Roman"/>
        </w:rPr>
        <w:t xml:space="preserve"> engage with any Iranian transitional leadership figure or platform only where the following conditions are met:</w:t>
      </w:r>
    </w:p>
    <w:p>
      <w:pPr>
        <w:pStyle w:val="BodyText"/>
        <w:numPr>
          <w:ilvl w:val="0"/>
          <w:numId w:val="12"/>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commitment to Iran’s territorial integrity and national sovereignty; </w:t>
      </w:r>
    </w:p>
    <w:p>
      <w:pPr>
        <w:pStyle w:val="BodyText"/>
        <w:numPr>
          <w:ilvl w:val="0"/>
          <w:numId w:val="12"/>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commitment to secular democratic governance; </w:t>
      </w:r>
    </w:p>
    <w:p>
      <w:pPr>
        <w:pStyle w:val="BodyText"/>
        <w:numPr>
          <w:ilvl w:val="0"/>
          <w:numId w:val="12"/>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commitment to universal human rights and equality before the law; </w:t>
      </w:r>
    </w:p>
    <w:p>
      <w:pPr>
        <w:pStyle w:val="BodyText"/>
        <w:numPr>
          <w:ilvl w:val="0"/>
          <w:numId w:val="12"/>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commitment to women’s rights and the repeal of discriminatory laws; </w:t>
      </w:r>
    </w:p>
    <w:p>
      <w:pPr>
        <w:pStyle w:val="BodyText"/>
        <w:numPr>
          <w:ilvl w:val="0"/>
          <w:numId w:val="12"/>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rejection of revenge justice, collective punishment, and political purges; </w:t>
      </w:r>
    </w:p>
    <w:p>
      <w:pPr>
        <w:pStyle w:val="BodyText"/>
        <w:numPr>
          <w:ilvl w:val="0"/>
          <w:numId w:val="12"/>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support for transitional justice based on due process; </w:t>
      </w:r>
    </w:p>
    <w:p>
      <w:pPr>
        <w:pStyle w:val="BodyText"/>
        <w:numPr>
          <w:ilvl w:val="0"/>
          <w:numId w:val="12"/>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commitment to free political parties, independent media, and civic space; </w:t>
      </w:r>
    </w:p>
    <w:p>
      <w:pPr>
        <w:pStyle w:val="BodyText"/>
        <w:numPr>
          <w:ilvl w:val="0"/>
          <w:numId w:val="12"/>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undertaking that the final form of government will be determined by free and fair elections or referendum; </w:t>
      </w:r>
    </w:p>
    <w:p>
      <w:pPr>
        <w:pStyle w:val="BodyText"/>
        <w:numPr>
          <w:ilvl w:val="0"/>
          <w:numId w:val="12"/>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readiness to cooperate with international observers, legal experts, and constitutional advisers; </w:t>
      </w:r>
    </w:p>
    <w:p>
      <w:pPr>
        <w:pStyle w:val="BodyText"/>
        <w:numPr>
          <w:ilvl w:val="0"/>
          <w:numId w:val="12"/>
        </w:numPr>
        <w:tabs>
          <w:tab w:val="clear" w:pos="709"/>
          <w:tab w:val="left" w:pos="707" w:leader="none"/>
        </w:tabs>
        <w:bidi w:val="0"/>
        <w:ind w:hanging="283" w:start="707"/>
        <w:jc w:val="start"/>
        <w:rPr>
          <w:rFonts w:ascii="Times New Roman" w:hAnsi="Times New Roman"/>
        </w:rPr>
      </w:pPr>
      <w:r>
        <w:rPr>
          <w:rFonts w:ascii="Times New Roman" w:hAnsi="Times New Roman"/>
        </w:rPr>
        <w:t xml:space="preserve">commitment to regional peace and non-aggression. </w:t>
      </w:r>
    </w:p>
    <w:p>
      <w:pPr>
        <w:pStyle w:val="Heading2"/>
        <w:bidi w:val="0"/>
        <w:jc w:val="start"/>
        <w:rPr>
          <w:rFonts w:ascii="Times New Roman" w:hAnsi="Times New Roman"/>
        </w:rPr>
      </w:pPr>
      <w:r>
        <w:rPr>
          <w:rFonts w:ascii="Times New Roman" w:hAnsi="Times New Roman"/>
        </w:rPr>
        <w:t>Suggested EU Instruments</w:t>
      </w:r>
    </w:p>
    <w:p>
      <w:pPr>
        <w:pStyle w:val="BodyText"/>
        <w:bidi w:val="0"/>
        <w:jc w:val="start"/>
        <w:rPr>
          <w:rFonts w:ascii="Times New Roman" w:hAnsi="Times New Roman"/>
        </w:rPr>
      </w:pPr>
      <w:r>
        <w:rPr>
          <w:rFonts w:ascii="Times New Roman" w:hAnsi="Times New Roman"/>
        </w:rPr>
        <w:t>The European Parliament may recommend that the EU prepare the following instruments:</w:t>
      </w:r>
    </w:p>
    <w:p>
      <w:pPr>
        <w:pStyle w:val="BodyText"/>
        <w:bidi w:val="0"/>
        <w:jc w:val="start"/>
        <w:rPr/>
      </w:pPr>
      <w:r>
        <w:rPr>
          <w:rStyle w:val="Strong"/>
          <w:rFonts w:ascii="Times New Roman" w:hAnsi="Times New Roman"/>
        </w:rPr>
        <w:t>1. Democratic Transition Contact Group</w:t>
      </w:r>
      <w:r>
        <w:rPr>
          <w:rFonts w:ascii="Times New Roman" w:hAnsi="Times New Roman"/>
        </w:rPr>
        <w:br/>
        <w:t>A specialised EU contact group on Iran’s democratic transition, involving Parliament, EEAS, Member State representatives, constitutional experts, human-rights lawyers, and Iranian democratic civil-society representatives.</w:t>
      </w:r>
    </w:p>
    <w:p>
      <w:pPr>
        <w:pStyle w:val="BodyText"/>
        <w:bidi w:val="0"/>
        <w:spacing w:lineRule="auto" w:line="276" w:before="0" w:after="140"/>
        <w:jc w:val="start"/>
        <w:rPr/>
      </w:pPr>
      <w:r>
        <w:rPr>
          <w:rStyle w:val="Strong"/>
          <w:rFonts w:ascii="Times New Roman" w:hAnsi="Times New Roman"/>
        </w:rPr>
        <w:t>2. Constitutional Advisory Facility</w:t>
      </w:r>
      <w:r>
        <w:rPr>
          <w:rFonts w:ascii="Times New Roman" w:hAnsi="Times New Roman"/>
        </w:rPr>
        <w:br/>
        <w:t>A legal and technical advisory mechanism to provide comparative constitutional expertise, including models of secular governance, electoral law, judicial independence, decentralisation, minority rights, and transitional justice.</w:t>
      </w:r>
    </w:p>
    <w:p>
      <w:pPr>
        <w:pStyle w:val="BodyText"/>
        <w:bidi w:val="0"/>
        <w:spacing w:lineRule="auto" w:line="276" w:before="0" w:after="140"/>
        <w:jc w:val="start"/>
        <w:rPr/>
      </w:pPr>
      <w:r>
        <w:rPr>
          <w:rStyle w:val="Strong"/>
          <w:rFonts w:ascii="Times New Roman" w:hAnsi="Times New Roman"/>
        </w:rPr>
        <w:t>3. Election Observation Preparation Mandate</w:t>
      </w:r>
      <w:r>
        <w:rPr>
          <w:rFonts w:ascii="Times New Roman" w:hAnsi="Times New Roman"/>
        </w:rPr>
        <w:br/>
        <w:t>Preparation for future EU election observation or electoral support when conditions permit, including referendum monitoring, voter registration support, campaign fairness assessment, and digital-disinformation monitoring.</w:t>
      </w:r>
    </w:p>
    <w:p>
      <w:pPr>
        <w:pStyle w:val="BodyText"/>
        <w:bidi w:val="0"/>
        <w:spacing w:lineRule="auto" w:line="276" w:before="0" w:after="140"/>
        <w:jc w:val="start"/>
        <w:rPr/>
      </w:pPr>
      <w:r>
        <w:rPr>
          <w:rStyle w:val="Strong"/>
          <w:rFonts w:ascii="Times New Roman" w:hAnsi="Times New Roman"/>
        </w:rPr>
        <w:t>4. Civic Space Protection Programme</w:t>
      </w:r>
      <w:r>
        <w:rPr>
          <w:rFonts w:ascii="Times New Roman" w:hAnsi="Times New Roman"/>
        </w:rPr>
        <w:br/>
        <w:t>Support for Iranian civil society, women’s organisations, lawyers, journalists, student groups, labour activists, and human-rights defenders who will be essential to any democratic constitutional process.</w:t>
      </w:r>
    </w:p>
    <w:p>
      <w:pPr>
        <w:pStyle w:val="BodyText"/>
        <w:bidi w:val="0"/>
        <w:spacing w:lineRule="auto" w:line="276" w:before="0" w:after="140"/>
        <w:jc w:val="start"/>
        <w:rPr/>
      </w:pPr>
      <w:r>
        <w:rPr>
          <w:rStyle w:val="Strong"/>
          <w:rFonts w:ascii="Times New Roman" w:hAnsi="Times New Roman"/>
        </w:rPr>
        <w:t>5. Transitional Justice and Documentation Support</w:t>
      </w:r>
      <w:r>
        <w:rPr>
          <w:rFonts w:ascii="Times New Roman" w:hAnsi="Times New Roman"/>
        </w:rPr>
        <w:br/>
        <w:t>Support for documenting crimes, preserving evidence, protecting witnesses, and preparing future accountability files consistent with due process and international criminal-law standards.</w:t>
      </w:r>
    </w:p>
    <w:p>
      <w:pPr>
        <w:pStyle w:val="BodyText"/>
        <w:bidi w:val="0"/>
        <w:spacing w:lineRule="auto" w:line="276" w:before="0" w:after="140"/>
        <w:jc w:val="start"/>
        <w:rPr/>
      </w:pPr>
      <w:r>
        <w:rPr>
          <w:rStyle w:val="Strong"/>
          <w:rFonts w:ascii="Times New Roman" w:hAnsi="Times New Roman"/>
        </w:rPr>
        <w:t>6. Constitutional Referendum Support</w:t>
      </w:r>
      <w:r>
        <w:rPr>
          <w:rFonts w:ascii="Times New Roman" w:hAnsi="Times New Roman"/>
        </w:rPr>
        <w:br/>
        <w:t>Technical and diplomatic support for a future referendum or constituent assembly process, provided that it is inclusive, transparent, internationally monitored, and free from military or clerical coercion.</w:t>
      </w:r>
    </w:p>
    <w:p>
      <w:pPr>
        <w:pStyle w:val="BodyText"/>
        <w:bidi w:val="0"/>
        <w:spacing w:lineRule="auto" w:line="276" w:before="0" w:after="140"/>
        <w:jc w:val="start"/>
        <w:rPr/>
      </w:pPr>
      <w:r>
        <w:rPr>
          <w:rStyle w:val="Strong"/>
          <w:rFonts w:ascii="Times New Roman" w:hAnsi="Times New Roman"/>
        </w:rPr>
        <w:t>7. Anti-Capture Safeguards</w:t>
      </w:r>
      <w:r>
        <w:rPr>
          <w:rFonts w:ascii="Times New Roman" w:hAnsi="Times New Roman"/>
        </w:rPr>
        <w:br/>
        <w:t>Mechanisms to prevent the constitutional process from being captured by the remnants of the security apparatus, foreign proxies, extremist factions, or corrupt financial networks.</w:t>
      </w:r>
    </w:p>
    <w:p>
      <w:pPr>
        <w:pStyle w:val="Heading1"/>
        <w:bidi w:val="0"/>
        <w:jc w:val="start"/>
        <w:rPr>
          <w:rFonts w:ascii="Times New Roman" w:hAnsi="Times New Roman"/>
          <w:sz w:val="30"/>
          <w:szCs w:val="30"/>
        </w:rPr>
      </w:pPr>
      <w:r>
        <w:rPr>
          <w:rFonts w:ascii="Times New Roman" w:hAnsi="Times New Roman"/>
          <w:sz w:val="30"/>
          <w:szCs w:val="30"/>
        </w:rPr>
        <w:t xml:space="preserve">Combined Recommendation </w:t>
      </w:r>
      <w:r>
        <w:rPr>
          <w:rFonts w:ascii="Times New Roman" w:hAnsi="Times New Roman"/>
          <w:sz w:val="30"/>
          <w:szCs w:val="30"/>
        </w:rPr>
        <w:t>of</w:t>
      </w:r>
      <w:r>
        <w:rPr>
          <w:rFonts w:ascii="Times New Roman" w:hAnsi="Times New Roman"/>
          <w:sz w:val="30"/>
          <w:szCs w:val="30"/>
        </w:rPr>
        <w:t xml:space="preserve"> the Dossier</w:t>
      </w:r>
    </w:p>
    <w:p>
      <w:pPr>
        <w:pStyle w:val="BodyText"/>
        <w:bidi w:val="0"/>
        <w:jc w:val="start"/>
        <w:rPr>
          <w:rFonts w:ascii="Times New Roman" w:hAnsi="Times New Roman"/>
          <w:b/>
          <w:bCs/>
        </w:rPr>
      </w:pPr>
      <w:r>
        <w:rPr>
          <w:rFonts w:ascii="Times New Roman" w:hAnsi="Times New Roman"/>
          <w:b/>
          <w:bCs/>
        </w:rPr>
        <w:t xml:space="preserve"> </w:t>
      </w:r>
      <w:r>
        <w:rPr>
          <w:rFonts w:ascii="Times New Roman" w:hAnsi="Times New Roman"/>
          <w:b/>
          <w:bCs/>
        </w:rPr>
        <w:t>final policy recommendation:</w:t>
      </w:r>
    </w:p>
    <w:p>
      <w:pPr>
        <w:pStyle w:val="BlockQuotation"/>
        <w:bidi w:val="0"/>
        <w:ind w:hanging="0" w:start="0" w:end="567"/>
        <w:jc w:val="both"/>
        <w:rPr>
          <w:rFonts w:ascii="Times New Roman" w:hAnsi="Times New Roman"/>
        </w:rPr>
      </w:pPr>
      <w:r>
        <w:rPr>
          <w:rFonts w:ascii="Times New Roman" w:hAnsi="Times New Roman"/>
        </w:rPr>
        <w:t xml:space="preserve">The European Parliament </w:t>
      </w:r>
      <w:r>
        <w:rPr>
          <w:rFonts w:ascii="Times New Roman" w:hAnsi="Times New Roman"/>
        </w:rPr>
        <w:t>can</w:t>
      </w:r>
      <w:r>
        <w:rPr>
          <w:rFonts w:ascii="Times New Roman" w:hAnsi="Times New Roman"/>
        </w:rPr>
        <w:t xml:space="preserve"> adopt a two-track policy: first, structured engagement with credible Iranian democratic transitional leadership, including Mr. Reza Pahlavi as a principal transitional interlocutor where he remains committed to a temporary democratic mandate; and second, preparation of EU legal, political, and technical instruments to support a future constitutional process in Iran based on self-determination, free elections, secular governance, human rights, women’s equality, minority protection, transitional justice, and the rule of law. The EU should not recognise a permanent alternative government for Iran before the Iranian people vote. However, it may recognise and engage a credible transitional leadership framework whose sole mandate is to guide Iran towards free elections and a democratic constitutional process.</w:t>
      </w:r>
    </w:p>
    <w:p>
      <w:pPr>
        <w:pStyle w:val="Heading2"/>
        <w:bidi w:val="0"/>
        <w:jc w:val="start"/>
        <w:rPr>
          <w:rFonts w:ascii="Times New Roman" w:hAnsi="Times New Roman"/>
        </w:rPr>
      </w:pPr>
      <w:r>
        <w:rPr>
          <w:rFonts w:ascii="Times New Roman" w:hAnsi="Times New Roman"/>
        </w:rPr>
        <w:t>Conclusion</w:t>
      </w:r>
    </w:p>
    <w:p>
      <w:pPr>
        <w:pStyle w:val="Heading3"/>
        <w:bidi w:val="0"/>
        <w:jc w:val="start"/>
        <w:rPr>
          <w:rFonts w:ascii="Times New Roman" w:hAnsi="Times New Roman"/>
        </w:rPr>
      </w:pPr>
      <w:r>
        <w:rPr>
          <w:rFonts w:ascii="Times New Roman" w:hAnsi="Times New Roman"/>
        </w:rPr>
        <w:t>Recognition of a Democratic Transitional Framework for Iran</w:t>
      </w:r>
    </w:p>
    <w:p>
      <w:pPr>
        <w:pStyle w:val="BodyText"/>
        <w:bidi w:val="0"/>
        <w:jc w:val="both"/>
        <w:rPr>
          <w:rFonts w:ascii="Times New Roman" w:hAnsi="Times New Roman"/>
        </w:rPr>
      </w:pPr>
      <w:r>
        <w:rPr>
          <w:rFonts w:ascii="Times New Roman" w:hAnsi="Times New Roman"/>
        </w:rPr>
        <w:t>In light of the foregoing, this dossier respectfully submits that the European Parliament should move beyond expressions of concern and adopt a more structured, lawful, and politically responsible approach towards Iran’s democratic future.</w:t>
      </w:r>
    </w:p>
    <w:p>
      <w:pPr>
        <w:pStyle w:val="BodyText"/>
        <w:bidi w:val="0"/>
        <w:jc w:val="both"/>
        <w:rPr>
          <w:rFonts w:ascii="Times New Roman" w:hAnsi="Times New Roman"/>
        </w:rPr>
      </w:pPr>
      <w:r>
        <w:rPr>
          <w:rFonts w:ascii="Times New Roman" w:hAnsi="Times New Roman"/>
        </w:rPr>
        <w:t>The central question before Europe is not whether the European Union should impose a future government on Iran. It should not, and it must not. The future constitutional order of Iran belongs exclusively to the Iranian people. The choice between republic, constitutional monarchy, parliamentary system, or any other democratic model must be made by Iranians themselves through a free, fair, transparent, and internationally credible process.</w:t>
      </w:r>
    </w:p>
    <w:p>
      <w:pPr>
        <w:pStyle w:val="BodyText"/>
        <w:bidi w:val="0"/>
        <w:jc w:val="both"/>
        <w:rPr>
          <w:rFonts w:ascii="Times New Roman" w:hAnsi="Times New Roman"/>
        </w:rPr>
      </w:pPr>
      <w:r>
        <w:rPr>
          <w:rFonts w:ascii="Times New Roman" w:hAnsi="Times New Roman"/>
        </w:rPr>
        <w:t>However, the European Union is not legally or morally required to remain passive while a ruling apparatus that has lost internal and external legitimacy continues to suppress the Iranian people, execute dissidents, criminalise civic space, and export insecurity beyond Iran’s borders. Neutrality in the face of systematic repression does not preserve sovereignty; it risks preserving authoritarian control over a nation whose people have repeatedly demonstrated their desire for dignity, freedom, and self-determination.</w:t>
      </w:r>
    </w:p>
    <w:p>
      <w:pPr>
        <w:pStyle w:val="BodyText"/>
        <w:bidi w:val="0"/>
        <w:jc w:val="both"/>
        <w:rPr/>
      </w:pPr>
      <w:r>
        <w:rPr>
          <w:rFonts w:ascii="Times New Roman" w:hAnsi="Times New Roman"/>
        </w:rPr>
        <w:t xml:space="preserve">For this reason, the most legally sound and politically persuasive course is for the European Parliament to recognise and engage not merely one individual in isolation, but a broader </w:t>
      </w:r>
      <w:r>
        <w:rPr>
          <w:rStyle w:val="Strong"/>
          <w:rFonts w:ascii="Times New Roman" w:hAnsi="Times New Roman"/>
        </w:rPr>
        <w:t>democratic transitional framework</w:t>
      </w:r>
      <w:r>
        <w:rPr>
          <w:rFonts w:ascii="Times New Roman" w:hAnsi="Times New Roman"/>
        </w:rPr>
        <w:t xml:space="preserve"> for Iran: a plural, civilian, secular, rights-based, and election-oriented platform capable of coordinating democratic opposition, civic forces, legal experts, women’s movements, labour representatives, student networks, minority voices, and diaspora organisations.</w:t>
      </w:r>
    </w:p>
    <w:p>
      <w:pPr>
        <w:pStyle w:val="BodyText"/>
        <w:bidi w:val="0"/>
        <w:jc w:val="both"/>
        <w:rPr/>
      </w:pPr>
      <w:r>
        <w:rPr>
          <w:rFonts w:ascii="Times New Roman" w:hAnsi="Times New Roman"/>
        </w:rPr>
        <w:t xml:space="preserve">Within such a framework, </w:t>
      </w:r>
      <w:r>
        <w:rPr>
          <w:rStyle w:val="Strong"/>
          <w:rFonts w:ascii="Times New Roman" w:hAnsi="Times New Roman"/>
          <w:b w:val="false"/>
          <w:bCs w:val="false"/>
        </w:rPr>
        <w:t>Mr. Reza Pahlavi may properly be recognised as a principal democratic transitional figure, representative, or interlocutor</w:t>
      </w:r>
      <w:r>
        <w:rPr>
          <w:rFonts w:ascii="Times New Roman" w:hAnsi="Times New Roman"/>
          <w:b w:val="false"/>
          <w:bCs w:val="false"/>
        </w:rPr>
        <w:t>,</w:t>
      </w:r>
      <w:r>
        <w:rPr>
          <w:rFonts w:ascii="Times New Roman" w:hAnsi="Times New Roman"/>
        </w:rPr>
        <w:t xml:space="preserve"> given his public visibility, symbolic standing, and repeated commitment to a temporary transitional role leading to free elections and constitutional choice. This formulation preserves both political realism and legal caution. It acknowledges the existence of a widely recognised opposition figure, while making clear that no permanent authority, office, or constitutional model can be conferred without the direct consent of the Iranian people.</w:t>
      </w:r>
    </w:p>
    <w:p>
      <w:pPr>
        <w:pStyle w:val="BodyText"/>
        <w:bidi w:val="0"/>
        <w:jc w:val="both"/>
        <w:rPr>
          <w:rFonts w:ascii="Times New Roman" w:hAnsi="Times New Roman"/>
        </w:rPr>
      </w:pPr>
      <w:r>
        <w:rPr>
          <w:rFonts w:ascii="Times New Roman" w:hAnsi="Times New Roman"/>
        </w:rPr>
        <w:t>Accordingly, this dossier calls upon the European Parliament to support the formation, recognition, and engagement of a democratic Iranian transitional council or comparable representative platform, led by or represented by credible transitional figures including Mr. Reza Pahlavi, provided that such a body is expressly committed to:</w:t>
      </w:r>
    </w:p>
    <w:p>
      <w:pPr>
        <w:pStyle w:val="BodyText"/>
        <w:numPr>
          <w:ilvl w:val="0"/>
          <w:numId w:val="13"/>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Iran’s territorial integrity and national sovereignty; </w:t>
      </w:r>
    </w:p>
    <w:p>
      <w:pPr>
        <w:pStyle w:val="BodyText"/>
        <w:numPr>
          <w:ilvl w:val="0"/>
          <w:numId w:val="13"/>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secular democratic governance; </w:t>
      </w:r>
    </w:p>
    <w:p>
      <w:pPr>
        <w:pStyle w:val="BodyText"/>
        <w:numPr>
          <w:ilvl w:val="0"/>
          <w:numId w:val="13"/>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universal human rights and equality before the law; </w:t>
      </w:r>
    </w:p>
    <w:p>
      <w:pPr>
        <w:pStyle w:val="BodyText"/>
        <w:numPr>
          <w:ilvl w:val="0"/>
          <w:numId w:val="13"/>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women’s full legal and political equality; </w:t>
      </w:r>
    </w:p>
    <w:p>
      <w:pPr>
        <w:pStyle w:val="BodyText"/>
        <w:numPr>
          <w:ilvl w:val="0"/>
          <w:numId w:val="13"/>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protection of ethnic, religious, linguistic, and cultural communities; </w:t>
      </w:r>
    </w:p>
    <w:p>
      <w:pPr>
        <w:pStyle w:val="BodyText"/>
        <w:numPr>
          <w:ilvl w:val="0"/>
          <w:numId w:val="13"/>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rejection of revenge justice, collective punishment, and political purges; </w:t>
      </w:r>
    </w:p>
    <w:p>
      <w:pPr>
        <w:pStyle w:val="BodyText"/>
        <w:numPr>
          <w:ilvl w:val="0"/>
          <w:numId w:val="13"/>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transitional justice based on due process and individual responsibility; </w:t>
      </w:r>
    </w:p>
    <w:p>
      <w:pPr>
        <w:pStyle w:val="BodyText"/>
        <w:numPr>
          <w:ilvl w:val="0"/>
          <w:numId w:val="13"/>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civilian control over military, intelligence, and security institutions; </w:t>
      </w:r>
    </w:p>
    <w:p>
      <w:pPr>
        <w:pStyle w:val="BodyText"/>
        <w:numPr>
          <w:ilvl w:val="0"/>
          <w:numId w:val="13"/>
        </w:numPr>
        <w:tabs>
          <w:tab w:val="clear" w:pos="709"/>
          <w:tab w:val="left" w:pos="707" w:leader="none"/>
        </w:tabs>
        <w:bidi w:val="0"/>
        <w:spacing w:before="0" w:after="0"/>
        <w:ind w:hanging="283" w:start="707"/>
        <w:jc w:val="start"/>
        <w:rPr>
          <w:rFonts w:ascii="Times New Roman" w:hAnsi="Times New Roman"/>
        </w:rPr>
      </w:pPr>
      <w:r>
        <w:rPr>
          <w:rFonts w:ascii="Times New Roman" w:hAnsi="Times New Roman"/>
        </w:rPr>
        <w:t xml:space="preserve">free political parties, independent media, and open civic space; </w:t>
      </w:r>
    </w:p>
    <w:p>
      <w:pPr>
        <w:pStyle w:val="BodyText"/>
        <w:numPr>
          <w:ilvl w:val="0"/>
          <w:numId w:val="13"/>
        </w:numPr>
        <w:tabs>
          <w:tab w:val="clear" w:pos="709"/>
          <w:tab w:val="left" w:pos="707" w:leader="none"/>
        </w:tabs>
        <w:bidi w:val="0"/>
        <w:ind w:hanging="283" w:start="707"/>
        <w:jc w:val="start"/>
        <w:rPr>
          <w:rFonts w:ascii="Times New Roman" w:hAnsi="Times New Roman"/>
        </w:rPr>
      </w:pPr>
      <w:r>
        <w:rPr>
          <w:rFonts w:ascii="Times New Roman" w:hAnsi="Times New Roman"/>
        </w:rPr>
        <w:t xml:space="preserve">a final constitutional settlement determined by the Iranian people through free and fair elections or referendum. </w:t>
      </w:r>
    </w:p>
    <w:p>
      <w:pPr>
        <w:pStyle w:val="BodyText"/>
        <w:bidi w:val="0"/>
        <w:jc w:val="both"/>
        <w:rPr>
          <w:rFonts w:ascii="Times New Roman" w:hAnsi="Times New Roman"/>
        </w:rPr>
      </w:pPr>
      <w:r>
        <w:rPr>
          <w:rFonts w:ascii="Times New Roman" w:hAnsi="Times New Roman"/>
        </w:rPr>
        <w:t>Such an approach would allow the European Parliament to stand with the Iranian people without dictating their future. It would create a legitimate bridge between the collapse of authoritarian legitimacy and the eventual birth of a democratic constitutional order. It would also give Europe a principled, lawful, and strategic instrument to engage with Iran’s future before events on the ground make such engagement more difficult, more costly, or more unstable.</w:t>
      </w:r>
    </w:p>
    <w:p>
      <w:pPr>
        <w:pStyle w:val="BodyText"/>
        <w:bidi w:val="0"/>
        <w:jc w:val="both"/>
        <w:rPr>
          <w:rFonts w:ascii="Times New Roman" w:hAnsi="Times New Roman"/>
        </w:rPr>
      </w:pPr>
      <w:r>
        <w:rPr>
          <w:rFonts w:ascii="Times New Roman" w:hAnsi="Times New Roman"/>
        </w:rPr>
        <w:t>The European Parliament has long declared its commitment to democracy, human rights, the rule of law, human dignity, gender equality, and international peace. Iran is now one of the decisive tests of that commitment. A free, secular, democratic, and prosperous Iran would not only serve the Iranian nation; it would contribute to regional stability, European security, energy diversification, trade opportunities, counter-extremism, and a safer international order.</w:t>
      </w:r>
    </w:p>
    <w:p>
      <w:pPr>
        <w:pStyle w:val="BodyText"/>
        <w:bidi w:val="0"/>
        <w:jc w:val="both"/>
        <w:rPr>
          <w:rFonts w:ascii="Times New Roman" w:hAnsi="Times New Roman"/>
        </w:rPr>
      </w:pPr>
      <w:r>
        <w:rPr>
          <w:rFonts w:ascii="Times New Roman" w:hAnsi="Times New Roman"/>
        </w:rPr>
        <w:t>This dossier therefore respectfully urges the European Parliament to adopt a clear policy position: to deny political normalisation to perpetrators of systematic repression; to expand targeted accountability measures against those responsible for grave human-rights violations; to protect Iranian civic space inside and outside Iran; to engage with credible democratic transitional leadership; and to support an eventual democratic constitutional process in which the Iranian people alone determine the future of their state.</w:t>
      </w:r>
    </w:p>
    <w:p>
      <w:pPr>
        <w:pStyle w:val="BodyText"/>
        <w:bidi w:val="0"/>
        <w:jc w:val="both"/>
        <w:rPr>
          <w:rFonts w:ascii="Times New Roman" w:hAnsi="Times New Roman"/>
        </w:rPr>
      </w:pPr>
      <w:r>
        <w:rPr>
          <w:rFonts w:ascii="Times New Roman" w:hAnsi="Times New Roman"/>
        </w:rPr>
        <w:t>History will judge Europe not only by the values it declares, but by the moments in which it chooses to act upon them. The Iranian people are not asking Europe to choose their government. They are asking Europe to stop legitimising those who have taken that choice away from them.</w:t>
      </w:r>
    </w:p>
    <w:p>
      <w:pPr>
        <w:pStyle w:val="BodyText"/>
        <w:bidi w:val="0"/>
        <w:jc w:val="both"/>
        <w:rPr>
          <w:rFonts w:ascii="Times New Roman" w:hAnsi="Times New Roman"/>
        </w:rPr>
      </w:pPr>
      <w:r>
        <w:rPr>
          <w:rFonts w:ascii="Times New Roman" w:hAnsi="Times New Roman"/>
        </w:rPr>
      </w:r>
    </w:p>
    <w:p>
      <w:pPr>
        <w:pStyle w:val="BodyText"/>
        <w:bidi w:val="0"/>
        <w:jc w:val="start"/>
        <w:rPr>
          <w:rFonts w:ascii="Times New Roman" w:hAnsi="Times New Roman"/>
        </w:rPr>
      </w:pPr>
      <w:r>
        <w:rPr>
          <w:rFonts w:ascii="Times New Roman" w:hAnsi="Times New Roman"/>
        </w:rPr>
        <w:t>Respectfully submitted,</w:t>
      </w:r>
    </w:p>
    <w:p>
      <w:pPr>
        <w:pStyle w:val="Heading2"/>
        <w:bidi w:val="0"/>
        <w:jc w:val="start"/>
        <w:rPr>
          <w:rFonts w:ascii="Times New Roman" w:hAnsi="Times New Roman"/>
          <w:sz w:val="28"/>
          <w:szCs w:val="28"/>
        </w:rPr>
      </w:pPr>
      <w:r>
        <w:rPr>
          <w:rFonts w:ascii="Times New Roman" w:hAnsi="Times New Roman"/>
          <w:sz w:val="28"/>
          <w:szCs w:val="28"/>
        </w:rPr>
        <w:t>Signatures</w:t>
      </w:r>
    </w:p>
    <w:p>
      <w:pPr>
        <w:pStyle w:val="BodyText"/>
        <w:bidi w:val="0"/>
        <w:jc w:val="start"/>
        <w:rPr>
          <w:rFonts w:ascii="Times New Roman" w:hAnsi="Times New Roman"/>
          <w:sz w:val="28"/>
          <w:szCs w:val="28"/>
        </w:rPr>
      </w:pPr>
      <w:r>
        <w:rPr>
          <w:rFonts w:ascii="Times New Roman" w:hAnsi="Times New Roman"/>
          <w:sz w:val="28"/>
          <w:szCs w:val="28"/>
        </w:rPr>
      </w:r>
    </w:p>
    <w:p>
      <w:pPr>
        <w:pStyle w:val="BodyText"/>
        <w:bidi w:val="0"/>
        <w:spacing w:lineRule="auto" w:line="276" w:before="0" w:after="140"/>
        <w:jc w:val="start"/>
        <w:rPr/>
      </w:pPr>
      <w:r>
        <w:rPr>
          <w:rStyle w:val="Strong"/>
          <w:rFonts w:ascii="Times New Roman" w:hAnsi="Times New Roman"/>
        </w:rPr>
        <w:t>Prepared and submitted by:</w:t>
      </w:r>
    </w:p>
    <w:p>
      <w:pPr>
        <w:pStyle w:val="BodyText"/>
        <w:bidi w:val="0"/>
        <w:spacing w:lineRule="auto" w:line="276" w:before="0" w:after="140"/>
        <w:jc w:val="start"/>
        <w:rPr/>
      </w:pPr>
      <w:r>
        <w:rPr>
          <w:rStyle w:val="Strong"/>
          <w:rFonts w:ascii="Times New Roman" w:hAnsi="Times New Roman"/>
        </w:rPr>
        <w:t xml:space="preserve">Reza Ostad, </w:t>
      </w:r>
      <w:r>
        <w:rPr>
          <w:rStyle w:val="Strong"/>
          <w:rFonts w:ascii="Times New Roman" w:hAnsi="Times New Roman"/>
          <w:b w:val="false"/>
          <w:bCs w:val="false"/>
        </w:rPr>
        <w:t xml:space="preserve">LL.B – LL.M/ </w:t>
      </w:r>
      <w:r>
        <w:rPr>
          <w:rStyle w:val="Strong"/>
          <w:rFonts w:ascii="Times New Roman" w:hAnsi="Times New Roman"/>
          <w:b w:val="false"/>
          <w:bCs w:val="false"/>
        </w:rPr>
        <w:t>UK</w:t>
      </w:r>
      <w:r>
        <w:rPr>
          <w:rFonts w:ascii="Times New Roman" w:hAnsi="Times New Roman"/>
        </w:rPr>
        <w:br/>
        <w:t xml:space="preserve">International Lawyer, </w:t>
      </w:r>
      <w:r>
        <w:rPr>
          <w:rFonts w:ascii="Times New Roman" w:hAnsi="Times New Roman"/>
        </w:rPr>
        <w:t xml:space="preserve">Co-Founder &amp; </w:t>
      </w:r>
      <w:r>
        <w:rPr>
          <w:rFonts w:ascii="Times New Roman" w:hAnsi="Times New Roman"/>
        </w:rPr>
        <w:t xml:space="preserve">Executive Member </w:t>
      </w:r>
      <w:r>
        <w:rPr>
          <w:rFonts w:ascii="Times New Roman" w:hAnsi="Times New Roman"/>
        </w:rPr>
        <w:t xml:space="preserve">of </w:t>
      </w:r>
      <w:r>
        <w:rPr>
          <w:rFonts w:ascii="Times New Roman" w:hAnsi="Times New Roman"/>
        </w:rPr>
        <w:t xml:space="preserve">Iranian International Lawyers Association </w:t>
      </w:r>
      <w:r>
        <w:rPr>
          <w:rFonts w:ascii="Times New Roman" w:hAnsi="Times New Roman"/>
        </w:rPr>
        <w:t>(</w:t>
      </w:r>
      <w:r>
        <w:rPr>
          <w:rFonts w:ascii="Times New Roman" w:hAnsi="Times New Roman"/>
        </w:rPr>
        <w:t>IILA</w:t>
      </w:r>
      <w:r>
        <w:rPr>
          <w:rFonts w:ascii="Times New Roman" w:hAnsi="Times New Roman"/>
        </w:rPr>
        <w:t xml:space="preserve">) SWITZERLAND, Member of IAILPA ( UK), </w:t>
      </w:r>
      <w:r>
        <w:rPr>
          <w:rFonts w:ascii="Times New Roman" w:hAnsi="Times New Roman"/>
        </w:rPr>
        <w:br/>
        <w:t>Email: reza.ostad.official@gmail.com</w:t>
      </w:r>
    </w:p>
    <w:p>
      <w:pPr>
        <w:pStyle w:val="Heading2"/>
        <w:bidi w:val="0"/>
        <w:jc w:val="start"/>
        <w:rPr>
          <w:rFonts w:ascii="Times New Roman" w:hAnsi="Times New Roman"/>
        </w:rPr>
      </w:pPr>
      <w:r>
        <w:rPr>
          <w:rFonts w:ascii="Times New Roman" w:hAnsi="Times New Roman"/>
        </w:rPr>
        <w:t>Supporting Affiliations / Endorsements</w:t>
      </w:r>
    </w:p>
    <w:p>
      <w:pPr>
        <w:pStyle w:val="BodyText"/>
        <w:bidi w:val="0"/>
        <w:jc w:val="start"/>
        <w:rPr>
          <w:rFonts w:ascii="Times New Roman" w:hAnsi="Times New Roman"/>
        </w:rPr>
      </w:pPr>
      <w:r>
        <w:rPr>
          <w:rFonts w:ascii="Times New Roman" w:hAnsi="Times New Roman"/>
        </w:rPr>
        <w:t xml:space="preserve">This dossier </w:t>
      </w:r>
      <w:r>
        <w:rPr>
          <w:rFonts w:ascii="Times New Roman" w:hAnsi="Times New Roman"/>
        </w:rPr>
        <w:t xml:space="preserve">is also </w:t>
      </w:r>
      <w:r>
        <w:rPr>
          <w:rFonts w:ascii="Times New Roman" w:hAnsi="Times New Roman"/>
        </w:rPr>
        <w:t>supported, endorsed, or co-signed b</w:t>
      </w:r>
      <w:r>
        <w:rPr>
          <w:rFonts w:ascii="Times New Roman" w:hAnsi="Times New Roman"/>
        </w:rPr>
        <w:t xml:space="preserve">y: </w:t>
      </w:r>
    </w:p>
    <w:p>
      <w:pPr>
        <w:pStyle w:val="BodyText"/>
        <w:bidi w:val="0"/>
        <w:jc w:val="start"/>
        <w:rPr/>
      </w:pPr>
      <w:r>
        <w:rPr>
          <w:rStyle w:val="Strong"/>
          <w:rFonts w:ascii="Times New Roman" w:hAnsi="Times New Roman"/>
        </w:rPr>
        <w:t xml:space="preserve">1- </w:t>
      </w:r>
      <w:r>
        <w:rPr>
          <w:rStyle w:val="Strong"/>
          <w:rFonts w:ascii="Times New Roman" w:hAnsi="Times New Roman"/>
        </w:rPr>
        <w:t xml:space="preserve">Iranian International Lawyers Association – IILA </w:t>
      </w:r>
      <w:r>
        <w:rPr>
          <w:rStyle w:val="Strong"/>
          <w:rFonts w:ascii="Times New Roman" w:hAnsi="Times New Roman"/>
        </w:rPr>
        <w:t xml:space="preserve">/ Switzerland </w:t>
      </w:r>
    </w:p>
    <w:p>
      <w:pPr>
        <w:pStyle w:val="BodyText"/>
        <w:bidi w:val="0"/>
        <w:jc w:val="start"/>
        <w:rPr/>
      </w:pPr>
      <w:r>
        <w:rPr>
          <w:rStyle w:val="Strong"/>
          <w:rFonts w:ascii="Times New Roman" w:hAnsi="Times New Roman"/>
        </w:rPr>
        <w:t xml:space="preserve">2- </w:t>
      </w:r>
      <w:r>
        <w:rPr>
          <w:rStyle w:val="Strong"/>
          <w:rFonts w:ascii="Times New Roman" w:hAnsi="Times New Roman"/>
        </w:rPr>
        <w:t xml:space="preserve">International Association of Iranian Legal and Political Advocates – </w:t>
      </w:r>
      <w:r>
        <w:rPr>
          <w:rStyle w:val="Strong"/>
          <w:rFonts w:ascii="Times New Roman" w:hAnsi="Times New Roman"/>
        </w:rPr>
        <w:t xml:space="preserve">IAILPA/ United Kingdom </w:t>
      </w:r>
    </w:p>
    <w:p>
      <w:pPr>
        <w:pStyle w:val="BodyText"/>
        <w:bidi w:val="0"/>
        <w:jc w:val="start"/>
        <w:rPr/>
      </w:pPr>
      <w:r>
        <w:rPr>
          <w:rStyle w:val="Strong"/>
          <w:rFonts w:ascii="Times New Roman" w:hAnsi="Times New Roman"/>
        </w:rPr>
        <w:t xml:space="preserve">3- </w:t>
      </w:r>
      <w:r>
        <w:rPr>
          <w:rStyle w:val="Strong"/>
          <w:rFonts w:ascii="Times New Roman" w:hAnsi="Times New Roman"/>
        </w:rPr>
        <w:t xml:space="preserve">Human in Chain </w:t>
      </w:r>
      <w:r>
        <w:rPr>
          <w:rStyle w:val="Strong"/>
          <w:rFonts w:ascii="Times New Roman" w:hAnsi="Times New Roman"/>
        </w:rPr>
        <w:t xml:space="preserve">foundation/ Germany </w:t>
      </w:r>
      <w:r>
        <w:rPr>
          <w:rFonts w:ascii="Times New Roman" w:hAnsi="Times New Roman"/>
        </w:rPr>
        <w:br/>
        <w:t>Human Rights Documentation and Civic Advocacy Platform</w:t>
        <w:br/>
      </w:r>
      <w:hyperlink r:id="rId4">
        <w:r>
          <w:rPr>
            <w:rStyle w:val="Hyperlink"/>
            <w:rFonts w:ascii="Times New Roman" w:hAnsi="Times New Roman"/>
          </w:rPr>
          <w:t>www.humaninchain.com</w:t>
        </w:r>
      </w:hyperlink>
      <w:r>
        <w:rPr>
          <w:rFonts w:ascii="Times New Roman" w:hAnsi="Times New Roman"/>
        </w:rPr>
        <w:t xml:space="preserve"> </w:t>
      </w:r>
    </w:p>
    <w:p>
      <w:pPr>
        <w:pStyle w:val="BodyText"/>
        <w:bidi w:val="0"/>
        <w:jc w:val="start"/>
        <w:rPr>
          <w:rFonts w:ascii="Times New Roman" w:hAnsi="Times New Roman"/>
        </w:rPr>
      </w:pPr>
      <w:r>
        <w:rPr>
          <w:rFonts w:ascii="Times New Roman" w:hAnsi="Times New Roman"/>
        </w:rPr>
      </w:r>
    </w:p>
    <w:p>
      <w:pPr>
        <w:pStyle w:val="BodyText"/>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Castellar">
    <w:charset w:val="00" w:characterSet="windows-1252"/>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3">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4">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5">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6">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7">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8">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9">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10">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11">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12">
    <w:lvl w:ilvl="0">
      <w:start w:val="1"/>
      <w:numFmt w:val="decimal"/>
      <w:lvlText w:val="%1."/>
      <w:lvlJc w:val="start"/>
      <w:pPr>
        <w:tabs>
          <w:tab w:val="num" w:pos="707"/>
        </w:tabs>
        <w:ind w:start="707" w:hanging="283"/>
      </w:pPr>
      <w:rPr/>
    </w:lvl>
    <w:lvl w:ilvl="1">
      <w:start w:val="1"/>
      <w:numFmt w:val="decimal"/>
      <w:lvlText w:val="%2."/>
      <w:lvlJc w:val="start"/>
      <w:pPr>
        <w:tabs>
          <w:tab w:val="num" w:pos="1414"/>
        </w:tabs>
        <w:ind w:start="1414" w:hanging="283"/>
      </w:pPr>
      <w:rPr/>
    </w:lvl>
    <w:lvl w:ilvl="2">
      <w:start w:val="1"/>
      <w:numFmt w:val="decimal"/>
      <w:lvlText w:val="%3."/>
      <w:lvlJc w:val="start"/>
      <w:pPr>
        <w:tabs>
          <w:tab w:val="num" w:pos="2121"/>
        </w:tabs>
        <w:ind w:start="2121" w:hanging="283"/>
      </w:pPr>
      <w:rPr/>
    </w:lvl>
    <w:lvl w:ilvl="3">
      <w:start w:val="1"/>
      <w:numFmt w:val="decimal"/>
      <w:lvlText w:val="%4."/>
      <w:lvlJc w:val="start"/>
      <w:pPr>
        <w:tabs>
          <w:tab w:val="num" w:pos="2828"/>
        </w:tabs>
        <w:ind w:start="2828" w:hanging="283"/>
      </w:pPr>
      <w:rPr/>
    </w:lvl>
    <w:lvl w:ilvl="4">
      <w:start w:val="1"/>
      <w:numFmt w:val="decimal"/>
      <w:lvlText w:val="%5."/>
      <w:lvlJc w:val="start"/>
      <w:pPr>
        <w:tabs>
          <w:tab w:val="num" w:pos="3535"/>
        </w:tabs>
        <w:ind w:start="3535" w:hanging="283"/>
      </w:pPr>
      <w:rPr/>
    </w:lvl>
    <w:lvl w:ilvl="5">
      <w:start w:val="1"/>
      <w:numFmt w:val="decimal"/>
      <w:lvlText w:val="%6."/>
      <w:lvlJc w:val="start"/>
      <w:pPr>
        <w:tabs>
          <w:tab w:val="num" w:pos="4242"/>
        </w:tabs>
        <w:ind w:start="4242" w:hanging="283"/>
      </w:pPr>
      <w:rPr/>
    </w:lvl>
    <w:lvl w:ilvl="6">
      <w:start w:val="1"/>
      <w:numFmt w:val="decimal"/>
      <w:lvlText w:val="%7."/>
      <w:lvlJc w:val="start"/>
      <w:pPr>
        <w:tabs>
          <w:tab w:val="num" w:pos="4949"/>
        </w:tabs>
        <w:ind w:start="4949" w:hanging="283"/>
      </w:pPr>
      <w:rPr/>
    </w:lvl>
    <w:lvl w:ilvl="7">
      <w:start w:val="1"/>
      <w:numFmt w:val="decimal"/>
      <w:lvlText w:val="%8."/>
      <w:lvlJc w:val="start"/>
      <w:pPr>
        <w:tabs>
          <w:tab w:val="num" w:pos="5656"/>
        </w:tabs>
        <w:ind w:start="5656" w:hanging="283"/>
      </w:pPr>
      <w:rPr/>
    </w:lvl>
    <w:lvl w:ilvl="8">
      <w:start w:val="1"/>
      <w:numFmt w:val="decimal"/>
      <w:lvlText w:val="%9."/>
      <w:lvlJc w:val="start"/>
      <w:pPr>
        <w:tabs>
          <w:tab w:val="num" w:pos="6363"/>
        </w:tabs>
        <w:ind w:start="6363" w:hanging="283"/>
      </w:pPr>
      <w:rPr/>
    </w:lvl>
  </w:abstractNum>
  <w:abstractNum w:abstractNumId="13">
    <w:lvl w:ilvl="0">
      <w:start w:val="1"/>
      <w:numFmt w:val="decimal"/>
      <w:lvlText w:val="%1."/>
      <w:lvlJc w:val="start"/>
      <w:pPr>
        <w:tabs>
          <w:tab w:val="num" w:pos="707"/>
        </w:tabs>
        <w:ind w:start="707" w:hanging="283"/>
      </w:pPr>
      <w:rPr/>
    </w:lvl>
    <w:lvl w:ilvl="1">
      <w:start w:val="1"/>
      <w:numFmt w:val="decimal"/>
      <w:lvlText w:val="%2."/>
      <w:lvlJc w:val="start"/>
      <w:pPr>
        <w:tabs>
          <w:tab w:val="num" w:pos="1414"/>
        </w:tabs>
        <w:ind w:start="1414" w:hanging="283"/>
      </w:pPr>
      <w:rPr/>
    </w:lvl>
    <w:lvl w:ilvl="2">
      <w:start w:val="1"/>
      <w:numFmt w:val="decimal"/>
      <w:lvlText w:val="%3."/>
      <w:lvlJc w:val="start"/>
      <w:pPr>
        <w:tabs>
          <w:tab w:val="num" w:pos="2121"/>
        </w:tabs>
        <w:ind w:start="2121" w:hanging="283"/>
      </w:pPr>
      <w:rPr/>
    </w:lvl>
    <w:lvl w:ilvl="3">
      <w:start w:val="1"/>
      <w:numFmt w:val="decimal"/>
      <w:lvlText w:val="%4."/>
      <w:lvlJc w:val="start"/>
      <w:pPr>
        <w:tabs>
          <w:tab w:val="num" w:pos="2828"/>
        </w:tabs>
        <w:ind w:start="2828" w:hanging="283"/>
      </w:pPr>
      <w:rPr/>
    </w:lvl>
    <w:lvl w:ilvl="4">
      <w:start w:val="1"/>
      <w:numFmt w:val="decimal"/>
      <w:lvlText w:val="%5."/>
      <w:lvlJc w:val="start"/>
      <w:pPr>
        <w:tabs>
          <w:tab w:val="num" w:pos="3535"/>
        </w:tabs>
        <w:ind w:start="3535" w:hanging="283"/>
      </w:pPr>
      <w:rPr/>
    </w:lvl>
    <w:lvl w:ilvl="5">
      <w:start w:val="1"/>
      <w:numFmt w:val="decimal"/>
      <w:lvlText w:val="%6."/>
      <w:lvlJc w:val="start"/>
      <w:pPr>
        <w:tabs>
          <w:tab w:val="num" w:pos="4242"/>
        </w:tabs>
        <w:ind w:start="4242" w:hanging="283"/>
      </w:pPr>
      <w:rPr/>
    </w:lvl>
    <w:lvl w:ilvl="6">
      <w:start w:val="1"/>
      <w:numFmt w:val="decimal"/>
      <w:lvlText w:val="%7."/>
      <w:lvlJc w:val="start"/>
      <w:pPr>
        <w:tabs>
          <w:tab w:val="num" w:pos="4949"/>
        </w:tabs>
        <w:ind w:start="4949" w:hanging="283"/>
      </w:pPr>
      <w:rPr/>
    </w:lvl>
    <w:lvl w:ilvl="7">
      <w:start w:val="1"/>
      <w:numFmt w:val="decimal"/>
      <w:lvlText w:val="%8."/>
      <w:lvlJc w:val="start"/>
      <w:pPr>
        <w:tabs>
          <w:tab w:val="num" w:pos="5656"/>
        </w:tabs>
        <w:ind w:start="5656" w:hanging="283"/>
      </w:pPr>
      <w:rPr/>
    </w:lvl>
    <w:lvl w:ilvl="8">
      <w:start w:val="1"/>
      <w:numFmt w:val="decimal"/>
      <w:lvlText w:val="%9."/>
      <w:lvlJc w:val="start"/>
      <w:pPr>
        <w:tabs>
          <w:tab w:val="num" w:pos="6363"/>
        </w:tabs>
        <w:ind w:start="6363"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8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GB"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Lucida Sans"/>
      <w:color w:val="auto"/>
      <w:kern w:val="2"/>
      <w:sz w:val="24"/>
      <w:szCs w:val="24"/>
      <w:lang w:val="en-GB"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SimSun" w:cs="Lucida Sans"/>
      <w:b/>
      <w:bCs/>
      <w:sz w:val="28"/>
      <w:szCs w:val="28"/>
    </w:rPr>
  </w:style>
  <w:style w:type="character" w:styleId="Hyper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FootnoteCharacters">
    <w:name w:val="Footnote Characters"/>
    <w:qFormat/>
    <w:rPr/>
  </w:style>
  <w:style w:type="character" w:styleId="FootnoteReference">
    <w:name w:val="footnote reference"/>
    <w:rPr>
      <w:vertAlign w:val="superscript"/>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suppressLineNumbers/>
      <w:ind w:hanging="339" w:start="339" w:end="0"/>
    </w:pPr>
    <w:rPr>
      <w:sz w:val="20"/>
      <w:szCs w:val="20"/>
    </w:rPr>
  </w:style>
  <w:style w:type="paragraph" w:styleId="BlockQuotation">
    <w:name w:val="Block Quotation"/>
    <w:basedOn w:val="Normal"/>
    <w:qFormat/>
    <w:pPr>
      <w:spacing w:before="0" w:after="283"/>
      <w:ind w:hanging="0" w:start="567" w:end="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reza.ostad.official@gmail.com" TargetMode="External"/><Relationship Id="rId3" Type="http://schemas.openxmlformats.org/officeDocument/2006/relationships/hyperlink" Target="http://WWW.HUMANINCHAIN.ORG/" TargetMode="External"/><Relationship Id="rId4" Type="http://schemas.openxmlformats.org/officeDocument/2006/relationships/hyperlink" Target="http://www.humaninchain.com/"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379</TotalTime>
  <Application>LibreOffice/26.2.2.2$Windows_X86_64 LibreOffice_project/1f77d10d6938fd34972958f64b2bcfa54f8b1ba5</Application>
  <AppVersion>15.0000</AppVersion>
  <Pages>14</Pages>
  <Words>5595</Words>
  <Characters>35501</Characters>
  <CharactersWithSpaces>40915</CharactersWithSpaces>
  <Paragraphs>216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2026-04-29T13:39:00Z</dcterms:created>
  <dc:creator/>
  <dc:description/>
  <dc:language>en-GB</dc:language>
  <cp:lastModifiedBy/>
  <dcterms:modified xsi:type="dcterms:W3CDTF">2026-04-29T21:25:50Z</dcterms:modified>
  <cp:revision>23</cp:revision>
  <dc:subject/>
  <dc:title/>
</cp:coreProperties>
</file>