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GoCue — технический проект</w:t>
      </w:r>
    </w:p>
    <w:p>
      <w:r>
        <w:rPr>
          <w:b/>
          <w:color w:val="5E6F82"/>
        </w:rPr>
        <w:t>Лабораторная работа № 2 · версия 1.0 · 28.10.2026</w:t>
      </w:r>
    </w:p>
    <w:p>
      <w:r>
        <w:t>Команда «Диалог», группа ПИб-23Э1.</w:t>
      </w:r>
    </w:p>
    <w:p>
      <w:r>
        <w:t>Проектная документация; схемы описывают планируемую систему, а не готовый прототип.</w:t>
      </w:r>
    </w:p>
    <w:p>
      <w:pPr>
        <w:pStyle w:val="Heading1"/>
      </w:pPr>
      <w:r>
        <w:t>1. Исходные решения</w:t>
      </w:r>
    </w:p>
    <w:p>
      <w:r>
        <w:t>Основной сценарий — намерение «Купить батарейки» с требованием MY_SUPERMARKET. Псевдоним разрешается в сохранённое физическое место. Android сообщает вход/выход из геозоны; модуль присутствия подтверждает визит после выдержки; движок намерений получает только ContextSnapshot. Все подходящие дела группируются и показываются один раз за визит. Данные и журнал событий находятся на устройстве.</w:t>
      </w:r>
    </w:p>
    <w:p>
      <w:r>
        <w:t>Проект не требует сервера. Для будущего Android-прототипа предложены Kotlin, нативный интерфейс, системные геозоны и уведомления, локальная реляционная БД; конкретные библиотеки и версии будут зафиксированы при начале реализации. Структура ниже — логическое разбиение, а не утверждение о существующем коде.</w:t>
      </w:r>
    </w:p>
    <w:p>
      <w:r>
        <w:t>Ключевой инвариант: IntentEngine не получает координаты, сырые GPS-точки или системные callback'и. Он работает с нормализованным контекстом, поэтому одинаковые входные данные дают одинаковый результат.</w:t>
      </w:r>
    </w:p>
    <w:p>
      <w:r>
        <w:br w:type="page"/>
      </w:r>
    </w:p>
    <w:p>
      <w:pPr>
        <w:pStyle w:val="Heading1"/>
      </w:pPr>
      <w:r>
        <w:t>2. Контекстная диаграмма IDEF0 (A-0)</w:t>
      </w:r>
    </w:p>
    <w:p>
      <w:r>
        <w:t>Функция системы — «Возвращать намерения в подходящем месте». Диаграмма A-0 показывает её как один блок. Слева входят намерения пользователя, настройки мест и события геозон — каждое по своей стрелке. Сверху отдельно поступают разрешения Android, правила контекста, выдержка и дедупликация. Справа отдельно выходят список подходящих дел, групповое уведомление и запись в журнале событий. Снизу к блоку подходят приложение GoCue, геозоны Android, уведомления Android и локальная БД. Внешний сервер не требуется.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480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8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F82"/>
          <w:sz w:val="16"/>
        </w:rPr>
        <w:t>Контекстная диаграмма</w:t>
      </w:r>
    </w:p>
    <w:p>
      <w:r>
        <w:t>Редактируемый исходник PlantUML: 01-context.puml (diagrams/01-context.puml).</w:t>
      </w:r>
    </w:p>
    <w:p>
      <w:r>
        <w:br w:type="page"/>
      </w:r>
    </w:p>
    <w:p>
      <w:pPr>
        <w:pStyle w:val="Heading1"/>
      </w:pPr>
      <w:r>
        <w:t>3. UML Use Case — варианты использования</w:t>
      </w:r>
    </w:p>
    <w:p>
      <w:r>
        <w:t>Пользователь создаёт намерения и места, получает список, завершает или переносит дело, просматривает причину срабатывания и запускает симуляцию. Android участвует в доставке события и уведомления. Диаграмма использует канонические элементы UML: акторов, овалы вариантов использования, границу системы, ассоциации и связи «include». Подтверждение визита — включаемый внутренний шаг для реального и симулированного сценария.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65486" cy="63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5486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F82"/>
          <w:sz w:val="16"/>
        </w:rPr>
        <w:t>Диаграмма вариантов использования</w:t>
      </w:r>
    </w:p>
    <w:p>
      <w:r>
        <w:t>Редактируемый исходник PlantUML: 02-use-case.puml (diagrams/02-use-case.puml). Соответствие UC и критериев приёмки дано в ТЗ (Техническое_задание.md#5-основные-сценарии-использования).</w:t>
      </w:r>
    </w:p>
    <w:p>
      <w:r>
        <w:br w:type="page"/>
      </w:r>
    </w:p>
    <w:p>
      <w:pPr>
        <w:pStyle w:val="Heading1"/>
      </w:pPr>
      <w:r>
        <w:t>4. UML-диаграмма классов</w:t>
      </w:r>
    </w:p>
    <w:p>
      <w:r>
        <w:t>Intent владеет одним или несколькими Requirement. SemanticPlaceBinding разрешает псевдоним в физическое Place, не меняя намерение. Visit хранит факт посещения, Suppression связывает намерение с конкретным визитом. ContextSnapshot — временный объект оценки, не таблица БД. RequirementEvaluator — интерфейс для проверок роли и семантического места.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8593" cy="63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8593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F82"/>
          <w:sz w:val="16"/>
        </w:rPr>
        <w:t>Диаграмма классов</w:t>
      </w:r>
    </w:p>
    <w:p>
      <w:r>
        <w:t>Редактируемый исходник PlantUML: 03-class.puml (diagrams/03-class.puml).</w:t>
      </w:r>
    </w:p>
    <w:p>
      <w:r>
        <w:br w:type="page"/>
      </w:r>
    </w:p>
    <w:p>
      <w:pPr>
        <w:pStyle w:val="Heading1"/>
      </w:pPr>
      <w:r>
        <w:t>5. UML-диаграмма развёртывания</w:t>
      </w:r>
    </w:p>
    <w:p>
      <w:r>
        <w:t>Все артефакты приложения и БД размещены на узле-устройстве. Внутри показаны среды выполнения Android и GoCue, а также системные службы геолокации и уведомлений. Внешняя сеть не нужна для базовых операций. Samsung Galaxy S25 обозначен как устройство испытания, а не единственная поддерживаемая модель.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9729" cy="63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729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F82"/>
          <w:sz w:val="16"/>
        </w:rPr>
        <w:t>Диаграмма развёртывания</w:t>
      </w:r>
    </w:p>
    <w:p>
      <w:r>
        <w:t>Редактируемый исходник PlantUML: 04-deployment.puml (diagrams/04-deployment.puml).</w:t>
      </w:r>
    </w:p>
    <w:p>
      <w:r>
        <w:br w:type="page"/>
      </w:r>
    </w:p>
    <w:p>
      <w:pPr>
        <w:pStyle w:val="Heading1"/>
      </w:pPr>
      <w:r>
        <w:t>6. UML-диаграмма компонентов</w:t>
      </w:r>
    </w:p>
    <w:p>
      <w:r>
        <w:t>Поток данных: GeofenceManager → PresenceEngine → ContextSnapshotBuilder → IntentEngine → NotificationCoordinator. На UML-диаграмме показаны символы компонентов UML2, составной компонент Core Logic, зависимости и подписанные контракты ContextSnapshot и EligibleIntents. PlaceResolver добавляет к физическому месту роли и семантические имена. Репозитории скрывают хранение. Интерфейс и симулятор используют те же правила, что и реальные системные события.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75" cy="63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on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75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F82"/>
          <w:sz w:val="16"/>
        </w:rPr>
        <w:t>Диаграмма компонентов</w:t>
      </w:r>
    </w:p>
    <w:p>
      <w:r>
        <w:t>Редактируемый исходник PlantUML: 05-components.puml (diagrams/05-components.puml).</w:t>
      </w:r>
    </w:p>
    <w:p>
      <w:r>
        <w:br w:type="page"/>
      </w:r>
    </w:p>
    <w:p>
      <w:pPr>
        <w:pStyle w:val="Heading1"/>
      </w:pPr>
      <w:r>
        <w:t>7. UML-диаграмма деятельности</w:t>
      </w:r>
    </w:p>
    <w:p>
      <w:r>
        <w:t>На сыром ENTER создаётся только кандидат. После выдержки 60 секунд при сохранении нахождения внутри геозоны визит подтверждается. Движок фильтрует активные, подходящие и не подавленные дела. NotificationCoordinator проверяет устойчивый ключ (visitId, contextKey); запись ключа должна предшествовать запросу уведомления, чтобы повторная оценка и перезапуск не дали дубль.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54258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542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F82"/>
          <w:sz w:val="16"/>
        </w:rPr>
        <w:t>Диаграмма деятельности</w:t>
      </w:r>
    </w:p>
    <w:p>
      <w:r>
        <w:t>Редактируемый исходник PlantUML: 06-activity.puml (diagrams/06-activity.puml). Предварительное резервирование ключа защищает от дублей, но при сбое между резервированием и отправкой возможно пропущенное уведомление. Для прототипа это сознательный выбор в пользу тишины; испытания должны оценить компромисс и при необходимости добавить состояние доставки/повтор с тем же ключом.</w:t>
      </w:r>
    </w:p>
    <w:p>
      <w:r>
        <w:br w:type="page"/>
      </w:r>
    </w:p>
    <w:p>
      <w:pPr>
        <w:pStyle w:val="Heading1"/>
      </w:pPr>
      <w:r>
        <w:t>8. UML-диаграмма состояний визита</w:t>
      </w:r>
    </w:p>
    <w:p>
      <w:r>
        <w:t>Выбран вариант диаграммы состояний из предложенных заданием. На диаграмме есть техническое состояние EXIT_PENDING: после EXIT запускается 60-секундная антидребезговая пауза. Возврат за это время сохраняет visitId; иначе визит становится ENDED. Состояния OUTSIDE и EXIT_PENDING относятся к Presence Engine; в БД PlaceVisit.state хранит CANDIDATE, CONFIRMED, ENDED, а ожидающий выход может быть представлен отдельным полем/событием таймера.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31389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13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F82"/>
          <w:sz w:val="16"/>
        </w:rPr>
        <w:t>Диаграмма состояний</w:t>
      </w:r>
    </w:p>
    <w:p>
      <w:r>
        <w:t>Редактируемый исходник PlantUML: 07-state.puml (diagrams/07-state.puml). Правило антидребезга — проектное дополнение к исходной продуктовой спецификации и проверяется по AC-14.</w:t>
      </w:r>
    </w:p>
    <w:p>
      <w:r>
        <w:br w:type="page"/>
      </w:r>
    </w:p>
    <w:p>
      <w:pPr>
        <w:pStyle w:val="Heading1"/>
      </w:pPr>
      <w:r>
        <w:t>9. ER-диаграмма данных</w:t>
      </w:r>
    </w:p>
    <w:p>
      <w:r>
        <w:t>Схема разделяет семантическое требование и физическое место. В NOTIFICATION_GROUP хранится устойчивый ключ дедупликации. Журнал EVENT служит объяснению и отладке, но не заменяет основные таблицы: полное event sourcing не требуется.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47710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77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F82"/>
          <w:sz w:val="16"/>
        </w:rPr>
        <w:t>ER-диаграмма</w:t>
      </w:r>
    </w:p>
    <w:p>
      <w:r>
        <w:t>Редактируемый исходник PlantUML: 08-er.puml (diagrams/08-er.puml). Поля source, updated_at, дополнительная диагностика разрешений и индексы могут быть добавлены при физическом проектировании БД; обязательные связи и ключи показаны здесь.</w:t>
      </w:r>
    </w:p>
    <w:p>
      <w:r>
        <w:br w:type="page"/>
      </w:r>
    </w:p>
    <w:p>
      <w:pPr>
        <w:pStyle w:val="Heading1"/>
      </w:pPr>
      <w:r>
        <w:t>10. Правила согласованности и хранения</w:t>
      </w:r>
    </w:p>
    <w:p>
      <w:pPr>
        <w:pStyle w:val="ListNumber"/>
      </w:pPr>
      <w:r>
        <w:t>Requirement.value хранит роль или семантический псевдоним, но не координаты. SEMANTIC_PLACE = MY_SUPERMARKET разрешается только через SemanticPlaceBinding.</w:t>
      </w:r>
    </w:p>
    <w:p>
      <w:pPr>
        <w:pStyle w:val="ListNumber"/>
      </w:pPr>
      <w:r>
        <w:t>Для (semantic_name) допускается не более одной активной привязки. Переустановка привязки меняет единственную запись; намерения не редактируются.</w:t>
      </w:r>
    </w:p>
    <w:p>
      <w:pPr>
        <w:pStyle w:val="ListNumber"/>
      </w:pPr>
      <w:r>
        <w:t>IntentSuppression уникален по (intent_id, visit_id). Он не переводит намерение в другое состояние. При новом визите старое подавление не влияет на результат; историческую запись можно оставить для аудита.</w:t>
      </w:r>
    </w:p>
    <w:p>
      <w:pPr>
        <w:pStyle w:val="ListNumber"/>
      </w:pPr>
      <w:r>
        <w:t>NotificationGroup уникален по (visit_id, context_key). context_key строится из идентификатора физического места и семантического/ролевого контекста; он не зависит от порядка дел в списке.</w:t>
      </w:r>
    </w:p>
    <w:p>
      <w:pPr>
        <w:pStyle w:val="ListNumber"/>
      </w:pPr>
      <w:r>
        <w:t>При завершении намерения его статус становится COMPLETED; дальнейшие оценки его игнорируют. Исторические события сохраняются до явного удаления пользователем.</w:t>
      </w:r>
    </w:p>
    <w:p>
      <w:pPr>
        <w:pStyle w:val="ListNumber"/>
      </w:pPr>
      <w:r>
        <w:t>Удаление физического места удаляет активную семантическую привязку после предупреждения; намерения остаются, но не срабатывают, пока место не выбрано снова.</w:t>
      </w:r>
    </w:p>
    <w:p>
      <w:pPr>
        <w:pStyle w:val="ListNumber"/>
      </w:pPr>
      <w:r>
        <w:t>Обработчики Android и симулятор передают события одному Presence Engine. Повторный callback с тем же смыслом должен быть идемпотентным.</w:t>
      </w:r>
    </w:p>
    <w:p>
      <w:pPr>
        <w:pStyle w:val="ListNumber"/>
      </w:pPr>
      <w:r>
        <w:t>Очистка истории удаляет завершённые визиты и события, но не активные намерения и места. Текущий визит и его ключ дедупликации сохраняются до выхода или завершаются без немедленного повторного показа, чтобы очистка не создала дубль.</w:t>
      </w:r>
    </w:p>
    <w:p>
      <w:pPr>
        <w:pStyle w:val="Heading1"/>
      </w:pPr>
      <w:r>
        <w:t>11. Трассировка требований и диаграмм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483"/>
      </w:tblGrid>
      <w:tr>
        <w:trPr>
          <w:cantSplit/>
          <w:tblHeader w:val="true"/>
        </w:trPr>
        <w:tc>
          <w:tcPr>
            <w:tcW w:type="dxa" w:w="2438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Диаграмма</w:t>
            </w:r>
          </w:p>
        </w:tc>
        <w:tc>
          <w:tcPr>
            <w:tcW w:type="dxa" w:w="7483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Главные требования ТЗ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IDEF0 (A-0)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FR-01, FR-03, FR-06, FR-08, NFR-01, NFR-07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Use Case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UC-01…UC-07; FR-01…FR-13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Классов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FR-01…FR-10, NFR-02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Развёртывания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FR-06, FR-08, FR-10, NFR-01, NFR-07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Компонентов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FR-04…FR-12, NFR-02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Деятельности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FR-06…FR-10, AC-06…AC-10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Состояний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FR-06, FR-14, AC-06, AC-07, AC-14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ER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FR-01…FR-11, FR-17, NFR-04, NFR-08</w:t>
            </w:r>
          </w:p>
        </w:tc>
      </w:tr>
    </w:tbl>
    <w:p>
      <w:pPr>
        <w:spacing w:after="40"/>
      </w:pPr>
    </w:p>
    <w:p>
      <w:pPr>
        <w:pStyle w:val="Heading1"/>
      </w:pPr>
      <w:r>
        <w:t>12. Открытые вопросы и проверка</w:t>
      </w:r>
    </w:p>
    <w:p>
      <w:pPr>
        <w:pStyle w:val="ListBullet"/>
      </w:pPr>
      <w:r>
        <w:t>Реальные задержки системной геозоны, необходимая точность и энергопотребление — измерить на Galaxy S25; гарантий своевременного срабатывания до испытаний нет.</w:t>
      </w:r>
    </w:p>
    <w:p>
      <w:pPr>
        <w:pStyle w:val="ListBullet"/>
      </w:pPr>
      <w:r>
        <w:t>Порог выдержки 60 секунд и антидребезг 60 секунд — стартовые параметры, менять по протоколу испытаний.</w:t>
      </w:r>
    </w:p>
    <w:p>
      <w:pPr>
        <w:pStyle w:val="ListBullet"/>
      </w:pPr>
      <w:r>
        <w:t>Конкретные библиотека БД и UI-стек — выбрать при реализации, не выдавая проектную схему за готовый код.</w:t>
      </w:r>
    </w:p>
    <w:p>
      <w:pPr>
        <w:pStyle w:val="ListBullet"/>
      </w:pPr>
      <w:r>
        <w:t>Уточнить, что делает приложение, если системное уведомление не доставлено после резервирования ключа; базовое поведение предпочитает отсутствие дубля, возможный пропуск фиксируется в журнале.</w:t>
      </w:r>
    </w:p>
    <w:p>
      <w:r>
        <w:t>Основание: исходная спецификация (../product-spec.md) и ТЗ ЛР2 (Техническое_задание.md). Все восемь диаграмм доступны как редактируемые .puml файлы в репозитории, их визуализации встроены в этот документ. Ссылка на ресурс: &lt;https://github.com/techmo0/GoCue/tree/main/docs/lab-02&gt;.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F82"/>
        <w:sz w:val="16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E6F82"/>
        <w:sz w:val="16"/>
      </w:rPr>
      <w:t>GoCue · ЛР2 · Технический проект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color w:val="1E33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36F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36FB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236FB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