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AWS Security Group Live Sync Tool</w:t>
      </w:r>
    </w:p>
    <w:p>
      <w:pPr>
        <w:jc w:val="center"/>
      </w:pPr>
      <w:r>
        <w:rPr>
          <w:color w:val="595959"/>
          <w:sz w:val="32"/>
        </w:rPr>
        <w:t>Team Reference and Operating Runbook</w:t>
      </w:r>
    </w:p>
    <w:p>
      <w:pPr>
        <w:jc w:val="center"/>
      </w:pPr>
      <w:r>
        <w:rPr>
          <w:i/>
          <w:sz w:val="24"/>
        </w:rPr>
        <w:t>Live Source-to-Target Security Group Reconciliation with Atomic Traffic-Behavior Comparison</w:t>
      </w:r>
    </w:p>
    <w:p>
      <w:pPr>
        <w:jc w:val="center"/>
      </w:pPr>
      <w:r>
        <w:rPr>
          <w:b/>
        </w:rPr>
        <w:t>Prepared for DevOps / Cloud Infrastructure Team Reference</w:t>
        <w:br/>
      </w:r>
      <w:r>
        <w:t>Version: 3.0 | Updated for current source-required-only live reconciliation workflow</w:t>
      </w:r>
    </w:p>
    <w:tbl>
      <w:tblPr>
        <w:tblStyle w:val="TableGrid"/>
        <w:tblW w:type="auto" w:w="0"/>
        <w:tblLook w:firstColumn="1" w:firstRow="1" w:lastColumn="0" w:lastRow="0" w:noHBand="0" w:noVBand="1" w:val="04A0"/>
      </w:tblPr>
      <w:tblGrid>
        <w:gridCol w:w="10224"/>
      </w:tblGrid>
      <w:tr>
        <w:tc>
          <w:tcPr>
            <w:tcW w:type="dxa" w:w="10224"/>
            <w:shd w:fill="D9EAD3"/>
          </w:tcPr>
          <w:p>
            <w:r/>
            <w:r>
              <w:rPr>
                <w:b/>
                <w:color w:val="1F4E79"/>
              </w:rPr>
              <w:t xml:space="preserve">Current Version Summary: </w:t>
            </w:r>
            <w:r>
              <w:t>This version performs live source-to-live target comparison using --info-file, tolerates extra target ingress/egress rules by default, uses atomic traffic-behavior rule comparison to reduce false drift, creates missing SG shells before rule sync, and performs post-apply validation after --yes.</w:t>
            </w:r>
          </w:p>
        </w:tc>
      </w:tr>
    </w:tbl>
    <w:p/>
    <w:p>
      <w:r>
        <w:br w:type="page"/>
      </w:r>
    </w:p>
    <w:p>
      <w:pPr>
        <w:pStyle w:val="Heading1"/>
      </w:pPr>
      <w:r>
        <w:t>1. Executive Summary</w:t>
      </w:r>
    </w:p>
    <w:p>
      <w:r>
        <w:t>This runbook documents the current AWS Security Group Live Sync / Reconciliation Engine. The tool compares security groups live between a source AWS account/VPC and a target AWS account/VPC, then creates or updates the target environment so it contains the source-required security group structure and traffic rules.</w:t>
      </w:r>
    </w:p>
    <w:p>
      <w:r>
        <w:t>The current design is optimized for disaster recovery (DR) parity. It enforces that the target contains all source-required security groups and rules while still allowing target-specific, AWS-managed, or environment-specific rules to remain in place.</w:t>
      </w:r>
    </w:p>
    <w:p>
      <w:r>
        <w:t>The current version adds atomic traffic-behavior comparison. Instead of comparing raw AWS IpPermissions blocks, the engine compares normalized atomic rule entries such as protocol, port range, source/destination type, and source/destination value. This reduces false drift caused by cross-account metadata, AWS grouping differences, rule descriptions, and API ordering differences.</w:t>
      </w:r>
    </w:p>
    <w:p>
      <w:r>
        <w:t>After apply mode completes, the tool re-reads the target security groups, rebuilds the reconciliation plan, and records whether the target converged. Operators should use the post_apply_validation section of the apply report as the primary confirmation of success.</w:t>
      </w:r>
    </w:p>
    <w:p>
      <w:pPr>
        <w:pStyle w:val="Heading1"/>
      </w:pPr>
      <w:r>
        <w:t>2. Purpose and Scope</w:t>
      </w:r>
    </w:p>
    <w:p>
      <w:pPr>
        <w:pStyle w:val="ListBullet"/>
      </w:pPr>
      <w:r>
        <w:t>Support controlled source-to-target security group parity for DR environments.</w:t>
      </w:r>
    </w:p>
    <w:p>
      <w:pPr>
        <w:pStyle w:val="ListBullet"/>
      </w:pPr>
      <w:r>
        <w:t>Identify missing target security groups and missing source-required rules.</w:t>
      </w:r>
    </w:p>
    <w:p>
      <w:pPr>
        <w:pStyle w:val="ListBullet"/>
      </w:pPr>
      <w:r>
        <w:t>Create missing target SG shells safely before applying SG-to-SG rules.</w:t>
      </w:r>
    </w:p>
    <w:p>
      <w:pPr>
        <w:pStyle w:val="ListBullet"/>
      </w:pPr>
      <w:r>
        <w:t>Remap source SG references to matching target SG IDs.</w:t>
      </w:r>
    </w:p>
    <w:p>
      <w:pPr>
        <w:pStyle w:val="ListBullet"/>
      </w:pPr>
      <w:r>
        <w:t>Tolerate extra target rules by default under the source-required-only policy.</w:t>
      </w:r>
    </w:p>
    <w:p>
      <w:pPr>
        <w:pStyle w:val="ListBullet"/>
      </w:pPr>
      <w:r>
        <w:t>Reduce false drift through atomic traffic-behavior rule comparison.</w:t>
      </w:r>
    </w:p>
    <w:p>
      <w:pPr>
        <w:pStyle w:val="ListBullet"/>
      </w:pPr>
      <w:r>
        <w:t>Generate JSON reports for report-only, dry-run, apply, and post-apply validation review.</w:t>
      </w:r>
    </w:p>
    <w:p>
      <w:pPr>
        <w:pStyle w:val="Heading1"/>
      </w:pPr>
      <w:r>
        <w:t>3. Current Architecture</w:t>
      </w:r>
    </w:p>
    <w:p>
      <w:r>
        <w:t>The engine follows this high-level workflow:</w:t>
      </w:r>
    </w:p>
    <w:p>
      <w:pPr>
        <w:pStyle w:val="CodeBlock"/>
      </w:pPr>
      <w:r>
        <w:rPr>
          <w:rFonts w:ascii="Courier New" w:hAnsi="Courier New" w:eastAsia="Courier New"/>
          <w:sz w:val="18"/>
        </w:rPr>
        <w:t>sg-config.json / info file</w:t>
      </w:r>
      <w:r>
        <w:br/>
      </w:r>
      <w:r>
        <w:rPr>
          <w:rFonts w:ascii="Courier New" w:hAnsi="Courier New" w:eastAsia="Courier New"/>
          <w:sz w:val="18"/>
        </w:rPr>
        <w:t xml:space="preserve">   ↓</w:t>
      </w:r>
      <w:r>
        <w:br/>
      </w:r>
      <w:r>
        <w:rPr>
          <w:rFonts w:ascii="Courier New" w:hAnsi="Courier New" w:eastAsia="Courier New"/>
          <w:sz w:val="18"/>
        </w:rPr>
        <w:t>Read source SGs live from AWS</w:t>
      </w:r>
      <w:r>
        <w:br/>
      </w:r>
      <w:r>
        <w:rPr>
          <w:rFonts w:ascii="Courier New" w:hAnsi="Courier New" w:eastAsia="Courier New"/>
          <w:sz w:val="18"/>
        </w:rPr>
        <w:t xml:space="preserve">   ↓</w:t>
      </w:r>
      <w:r>
        <w:br/>
      </w:r>
      <w:r>
        <w:rPr>
          <w:rFonts w:ascii="Courier New" w:hAnsi="Courier New" w:eastAsia="Courier New"/>
          <w:sz w:val="18"/>
        </w:rPr>
        <w:t>Read target SGs live from AWS</w:t>
      </w:r>
      <w:r>
        <w:br/>
      </w:r>
      <w:r>
        <w:rPr>
          <w:rFonts w:ascii="Courier New" w:hAnsi="Courier New" w:eastAsia="Courier New"/>
          <w:sz w:val="18"/>
        </w:rPr>
        <w:t xml:space="preserve">   ↓</w:t>
      </w:r>
      <w:r>
        <w:br/>
      </w:r>
      <w:r>
        <w:rPr>
          <w:rFonts w:ascii="Courier New" w:hAnsi="Courier New" w:eastAsia="Courier New"/>
          <w:sz w:val="18"/>
        </w:rPr>
        <w:t>Normalize and match source SGs to target SGs</w:t>
      </w:r>
      <w:r>
        <w:br/>
      </w:r>
      <w:r>
        <w:rPr>
          <w:rFonts w:ascii="Courier New" w:hAnsi="Courier New" w:eastAsia="Courier New"/>
          <w:sz w:val="18"/>
        </w:rPr>
        <w:t xml:space="preserve">   ↓</w:t>
      </w:r>
      <w:r>
        <w:br/>
      </w:r>
      <w:r>
        <w:rPr>
          <w:rFonts w:ascii="Courier New" w:hAnsi="Courier New" w:eastAsia="Courier New"/>
          <w:sz w:val="18"/>
        </w:rPr>
        <w:t>Build dependency graph and Terraform-like plan</w:t>
      </w:r>
      <w:r>
        <w:br/>
      </w:r>
      <w:r>
        <w:rPr>
          <w:rFonts w:ascii="Courier New" w:hAnsi="Courier New" w:eastAsia="Courier New"/>
          <w:sz w:val="18"/>
        </w:rPr>
        <w:t xml:space="preserve">   ↓</w:t>
      </w:r>
      <w:r>
        <w:br/>
      </w:r>
      <w:r>
        <w:rPr>
          <w:rFonts w:ascii="Courier New" w:hAnsi="Courier New" w:eastAsia="Courier New"/>
          <w:sz w:val="18"/>
        </w:rPr>
        <w:t>Create missing target SG shells first</w:t>
      </w:r>
      <w:r>
        <w:br/>
      </w:r>
      <w:r>
        <w:rPr>
          <w:rFonts w:ascii="Courier New" w:hAnsi="Courier New" w:eastAsia="Courier New"/>
          <w:sz w:val="18"/>
        </w:rPr>
        <w:t xml:space="preserve">   ↓</w:t>
      </w:r>
      <w:r>
        <w:br/>
      </w:r>
      <w:r>
        <w:rPr>
          <w:rFonts w:ascii="Courier New" w:hAnsi="Courier New" w:eastAsia="Courier New"/>
          <w:sz w:val="18"/>
        </w:rPr>
        <w:t>Build source SG ID -&gt; target SG ID map</w:t>
      </w:r>
      <w:r>
        <w:br/>
      </w:r>
      <w:r>
        <w:rPr>
          <w:rFonts w:ascii="Courier New" w:hAnsi="Courier New" w:eastAsia="Courier New"/>
          <w:sz w:val="18"/>
        </w:rPr>
        <w:t xml:space="preserve">   ↓</w:t>
      </w:r>
      <w:r>
        <w:br/>
      </w:r>
      <w:r>
        <w:rPr>
          <w:rFonts w:ascii="Courier New" w:hAnsi="Courier New" w:eastAsia="Courier New"/>
          <w:sz w:val="18"/>
        </w:rPr>
        <w:t>Rewrite source SG references to target SG references</w:t>
      </w:r>
      <w:r>
        <w:br/>
      </w:r>
      <w:r>
        <w:rPr>
          <w:rFonts w:ascii="Courier New" w:hAnsi="Courier New" w:eastAsia="Courier New"/>
          <w:sz w:val="18"/>
        </w:rPr>
        <w:t xml:space="preserve">   ↓</w:t>
      </w:r>
      <w:r>
        <w:br/>
      </w:r>
      <w:r>
        <w:rPr>
          <w:rFonts w:ascii="Courier New" w:hAnsi="Courier New" w:eastAsia="Courier New"/>
          <w:sz w:val="18"/>
        </w:rPr>
        <w:t>Compare rules using atomic traffic-behavior keys</w:t>
      </w:r>
      <w:r>
        <w:br/>
      </w:r>
      <w:r>
        <w:rPr>
          <w:rFonts w:ascii="Courier New" w:hAnsi="Courier New" w:eastAsia="Courier New"/>
          <w:sz w:val="18"/>
        </w:rPr>
        <w:t xml:space="preserve">   ↓</w:t>
      </w:r>
      <w:r>
        <w:br/>
      </w:r>
      <w:r>
        <w:rPr>
          <w:rFonts w:ascii="Courier New" w:hAnsi="Courier New" w:eastAsia="Courier New"/>
          <w:sz w:val="18"/>
        </w:rPr>
        <w:t>Apply missing source-required rules and tags</w:t>
      </w:r>
      <w:r>
        <w:br/>
      </w:r>
      <w:r>
        <w:rPr>
          <w:rFonts w:ascii="Courier New" w:hAnsi="Courier New" w:eastAsia="Courier New"/>
          <w:sz w:val="18"/>
        </w:rPr>
        <w:t xml:space="preserve">   ↓</w:t>
      </w:r>
      <w:r>
        <w:br/>
      </w:r>
      <w:r>
        <w:rPr>
          <w:rFonts w:ascii="Courier New" w:hAnsi="Courier New" w:eastAsia="Courier New"/>
          <w:sz w:val="18"/>
        </w:rPr>
        <w:t>Re-read target SGs</w:t>
      </w:r>
      <w:r>
        <w:br/>
      </w:r>
      <w:r>
        <w:rPr>
          <w:rFonts w:ascii="Courier New" w:hAnsi="Courier New" w:eastAsia="Courier New"/>
          <w:sz w:val="18"/>
        </w:rPr>
        <w:t xml:space="preserve">   ↓</w:t>
      </w:r>
      <w:r>
        <w:br/>
      </w:r>
      <w:r>
        <w:rPr>
          <w:rFonts w:ascii="Courier New" w:hAnsi="Courier New" w:eastAsia="Courier New"/>
          <w:sz w:val="18"/>
        </w:rPr>
        <w:t>Run post-apply validation</w:t>
      </w:r>
      <w:r>
        <w:br/>
      </w:r>
      <w:r>
        <w:rPr>
          <w:rFonts w:ascii="Courier New" w:hAnsi="Courier New" w:eastAsia="Courier New"/>
          <w:sz w:val="18"/>
        </w:rPr>
        <w:t xml:space="preserve">   ↓</w:t>
      </w:r>
      <w:r>
        <w:br/>
      </w:r>
      <w:r>
        <w:rPr>
          <w:rFonts w:ascii="Courier New" w:hAnsi="Courier New" w:eastAsia="Courier New"/>
          <w:sz w:val="18"/>
        </w:rPr>
        <w:t>Write JSON report and rollback journal data</w:t>
      </w:r>
      <w:r>
        <w:br/>
      </w:r>
    </w:p>
    <w:p>
      <w:pPr>
        <w:pStyle w:val="Heading1"/>
      </w:pPr>
      <w:r>
        <w:t>4. Configuration File</w:t>
      </w:r>
    </w:p>
    <w:p>
      <w:r>
        <w:t>The current script uses an info/config file passed through --info-file. A typical configuration looks like this:</w:t>
      </w:r>
    </w:p>
    <w:p>
      <w:pPr>
        <w:pStyle w:val="CodeBlock"/>
      </w:pPr>
      <w:r>
        <w:rPr>
          <w:rFonts w:ascii="Courier New" w:hAnsi="Courier New" w:eastAsia="Courier New"/>
          <w:sz w:val="18"/>
        </w:rPr>
        <w:t>{</w:t>
      </w:r>
      <w:r>
        <w:br/>
      </w:r>
      <w:r>
        <w:rPr>
          <w:rFonts w:ascii="Courier New" w:hAnsi="Courier New" w:eastAsia="Courier New"/>
          <w:sz w:val="18"/>
        </w:rPr>
        <w:t xml:space="preserve">  "source": {</w:t>
      </w:r>
      <w:r>
        <w:br/>
      </w:r>
      <w:r>
        <w:rPr>
          <w:rFonts w:ascii="Courier New" w:hAnsi="Courier New" w:eastAsia="Courier New"/>
          <w:sz w:val="18"/>
        </w:rPr>
        <w:t xml:space="preserve">    "profile": "prod",</w:t>
      </w:r>
      <w:r>
        <w:br/>
      </w:r>
      <w:r>
        <w:rPr>
          <w:rFonts w:ascii="Courier New" w:hAnsi="Courier New" w:eastAsia="Courier New"/>
          <w:sz w:val="18"/>
        </w:rPr>
        <w:t xml:space="preserve">    "region": "us-east-1",</w:t>
      </w:r>
      <w:r>
        <w:br/>
      </w:r>
      <w:r>
        <w:rPr>
          <w:rFonts w:ascii="Courier New" w:hAnsi="Courier New" w:eastAsia="Courier New"/>
          <w:sz w:val="18"/>
        </w:rPr>
        <w:t xml:space="preserve">    "vpc_id": "vpc-source-id",</w:t>
      </w:r>
      <w:r>
        <w:br/>
      </w:r>
      <w:r>
        <w:rPr>
          <w:rFonts w:ascii="Courier New" w:hAnsi="Courier New" w:eastAsia="Courier New"/>
          <w:sz w:val="18"/>
        </w:rPr>
        <w:t xml:space="preserve">    "account_id": "111111111111"</w:t>
      </w:r>
      <w:r>
        <w:br/>
      </w:r>
      <w:r>
        <w:rPr>
          <w:rFonts w:ascii="Courier New" w:hAnsi="Courier New" w:eastAsia="Courier New"/>
          <w:sz w:val="18"/>
        </w:rPr>
        <w:t xml:space="preserve">  },</w:t>
      </w:r>
      <w:r>
        <w:br/>
      </w:r>
      <w:r>
        <w:rPr>
          <w:rFonts w:ascii="Courier New" w:hAnsi="Courier New" w:eastAsia="Courier New"/>
          <w:sz w:val="18"/>
        </w:rPr>
        <w:t xml:space="preserve">  "target": {</w:t>
      </w:r>
      <w:r>
        <w:br/>
      </w:r>
      <w:r>
        <w:rPr>
          <w:rFonts w:ascii="Courier New" w:hAnsi="Courier New" w:eastAsia="Courier New"/>
          <w:sz w:val="18"/>
        </w:rPr>
        <w:t xml:space="preserve">    "profile": "dr",</w:t>
      </w:r>
      <w:r>
        <w:br/>
      </w:r>
      <w:r>
        <w:rPr>
          <w:rFonts w:ascii="Courier New" w:hAnsi="Courier New" w:eastAsia="Courier New"/>
          <w:sz w:val="18"/>
        </w:rPr>
        <w:t xml:space="preserve">    "region": "us-east-1",</w:t>
      </w:r>
      <w:r>
        <w:br/>
      </w:r>
      <w:r>
        <w:rPr>
          <w:rFonts w:ascii="Courier New" w:hAnsi="Courier New" w:eastAsia="Courier New"/>
          <w:sz w:val="18"/>
        </w:rPr>
        <w:t xml:space="preserve">    "vpc_id": "vpc-target-id",</w:t>
      </w:r>
      <w:r>
        <w:br/>
      </w:r>
      <w:r>
        <w:rPr>
          <w:rFonts w:ascii="Courier New" w:hAnsi="Courier New" w:eastAsia="Courier New"/>
          <w:sz w:val="18"/>
        </w:rPr>
        <w:t xml:space="preserve">    "account_id": "222222222222"</w:t>
      </w:r>
      <w:r>
        <w:br/>
      </w:r>
      <w:r>
        <w:rPr>
          <w:rFonts w:ascii="Courier New" w:hAnsi="Courier New" w:eastAsia="Courier New"/>
          <w:sz w:val="18"/>
        </w:rPr>
        <w:t xml:space="preserve">  }</w:t>
      </w:r>
      <w:r>
        <w:br/>
      </w:r>
      <w:r>
        <w:rPr>
          <w:rFonts w:ascii="Courier New" w:hAnsi="Courier New" w:eastAsia="Courier New"/>
          <w:sz w:val="18"/>
        </w:rPr>
        <w:t>}</w:t>
      </w:r>
      <w:r>
        <w:br/>
      </w:r>
    </w:p>
    <w:tbl>
      <w:tblPr>
        <w:tblStyle w:val="TableGrid"/>
        <w:tblW w:type="auto" w:w="0"/>
        <w:jc w:val="center"/>
        <w:tblLook w:firstColumn="1" w:firstRow="1" w:lastColumn="0" w:lastRow="0" w:noHBand="0" w:noVBand="1" w:val="04A0"/>
      </w:tblPr>
      <w:tblGrid>
        <w:gridCol w:w="5112"/>
        <w:gridCol w:w="5112"/>
      </w:tblGrid>
      <w:tr>
        <w:tc>
          <w:tcPr>
            <w:tcW w:type="dxa" w:w="2592"/>
            <w:shd w:fill="1F4E79"/>
            <w:vAlign w:val="center"/>
          </w:tcPr>
          <w:p>
            <w:pPr>
              <w:spacing w:after="40" w:before="0"/>
            </w:pPr>
            <w:r/>
            <w:r>
              <w:rPr>
                <w:b/>
                <w:color w:val="FFFFFF"/>
              </w:rPr>
              <w:t>Field</w:t>
            </w:r>
          </w:p>
        </w:tc>
        <w:tc>
          <w:tcPr>
            <w:tcW w:type="dxa" w:w="6912"/>
            <w:shd w:fill="1F4E79"/>
            <w:vAlign w:val="center"/>
          </w:tcPr>
          <w:p>
            <w:pPr>
              <w:spacing w:after="40" w:before="0"/>
            </w:pPr>
            <w:r/>
            <w:r>
              <w:rPr>
                <w:b/>
                <w:color w:val="FFFFFF"/>
              </w:rPr>
              <w:t>Description</w:t>
            </w:r>
          </w:p>
        </w:tc>
      </w:tr>
      <w:tr>
        <w:tc>
          <w:tcPr>
            <w:tcW w:type="dxa" w:w="2592"/>
            <w:vAlign w:val="top"/>
          </w:tcPr>
          <w:p>
            <w:pPr>
              <w:spacing w:after="40" w:before="0"/>
            </w:pPr>
            <w:r/>
            <w:r>
              <w:rPr>
                <w:b w:val="0"/>
              </w:rPr>
              <w:t>source.profile</w:t>
            </w:r>
          </w:p>
        </w:tc>
        <w:tc>
          <w:tcPr>
            <w:tcW w:type="dxa" w:w="6912"/>
            <w:vAlign w:val="top"/>
          </w:tcPr>
          <w:p>
            <w:pPr>
              <w:spacing w:after="40" w:before="0"/>
            </w:pPr>
            <w:r/>
            <w:r>
              <w:rPr>
                <w:b w:val="0"/>
              </w:rPr>
              <w:t>AWS CLI profile used to read the source/prod account.</w:t>
            </w:r>
          </w:p>
        </w:tc>
      </w:tr>
      <w:tr>
        <w:tc>
          <w:tcPr>
            <w:tcW w:type="dxa" w:w="2592"/>
            <w:vAlign w:val="top"/>
          </w:tcPr>
          <w:p>
            <w:pPr>
              <w:spacing w:after="40" w:before="0"/>
            </w:pPr>
            <w:r/>
            <w:r>
              <w:rPr>
                <w:b w:val="0"/>
              </w:rPr>
              <w:t>source.region</w:t>
            </w:r>
          </w:p>
        </w:tc>
        <w:tc>
          <w:tcPr>
            <w:tcW w:type="dxa" w:w="6912"/>
            <w:vAlign w:val="top"/>
          </w:tcPr>
          <w:p>
            <w:pPr>
              <w:spacing w:after="40" w:before="0"/>
            </w:pPr>
            <w:r/>
            <w:r>
              <w:rPr>
                <w:b w:val="0"/>
              </w:rPr>
              <w:t>AWS region containing the source VPC.</w:t>
            </w:r>
          </w:p>
        </w:tc>
      </w:tr>
      <w:tr>
        <w:tc>
          <w:tcPr>
            <w:tcW w:type="dxa" w:w="2592"/>
            <w:vAlign w:val="top"/>
          </w:tcPr>
          <w:p>
            <w:pPr>
              <w:spacing w:after="40" w:before="0"/>
            </w:pPr>
            <w:r/>
            <w:r>
              <w:rPr>
                <w:b w:val="0"/>
              </w:rPr>
              <w:t>source.vpc_id</w:t>
            </w:r>
          </w:p>
        </w:tc>
        <w:tc>
          <w:tcPr>
            <w:tcW w:type="dxa" w:w="6912"/>
            <w:vAlign w:val="top"/>
          </w:tcPr>
          <w:p>
            <w:pPr>
              <w:spacing w:after="40" w:before="0"/>
            </w:pPr>
            <w:r/>
            <w:r>
              <w:rPr>
                <w:b w:val="0"/>
              </w:rPr>
              <w:t>Source VPC ID used to scope the live source security group read.</w:t>
            </w:r>
          </w:p>
        </w:tc>
      </w:tr>
      <w:tr>
        <w:tc>
          <w:tcPr>
            <w:tcW w:type="dxa" w:w="2592"/>
            <w:vAlign w:val="top"/>
          </w:tcPr>
          <w:p>
            <w:pPr>
              <w:spacing w:after="40" w:before="0"/>
            </w:pPr>
            <w:r/>
            <w:r>
              <w:rPr>
                <w:b w:val="0"/>
              </w:rPr>
              <w:t>target.profile</w:t>
            </w:r>
          </w:p>
        </w:tc>
        <w:tc>
          <w:tcPr>
            <w:tcW w:type="dxa" w:w="6912"/>
            <w:vAlign w:val="top"/>
          </w:tcPr>
          <w:p>
            <w:pPr>
              <w:spacing w:after="40" w:before="0"/>
            </w:pPr>
            <w:r/>
            <w:r>
              <w:rPr>
                <w:b w:val="0"/>
              </w:rPr>
              <w:t>AWS CLI profile used to read and modify the target/DR account.</w:t>
            </w:r>
          </w:p>
        </w:tc>
      </w:tr>
      <w:tr>
        <w:tc>
          <w:tcPr>
            <w:tcW w:type="dxa" w:w="2592"/>
            <w:vAlign w:val="top"/>
          </w:tcPr>
          <w:p>
            <w:pPr>
              <w:spacing w:after="40" w:before="0"/>
            </w:pPr>
            <w:r/>
            <w:r>
              <w:rPr>
                <w:b w:val="0"/>
              </w:rPr>
              <w:t>target.region</w:t>
            </w:r>
          </w:p>
        </w:tc>
        <w:tc>
          <w:tcPr>
            <w:tcW w:type="dxa" w:w="6912"/>
            <w:vAlign w:val="top"/>
          </w:tcPr>
          <w:p>
            <w:pPr>
              <w:spacing w:after="40" w:before="0"/>
            </w:pPr>
            <w:r/>
            <w:r>
              <w:rPr>
                <w:b w:val="0"/>
              </w:rPr>
              <w:t>AWS region containing the target VPC.</w:t>
            </w:r>
          </w:p>
        </w:tc>
      </w:tr>
      <w:tr>
        <w:tc>
          <w:tcPr>
            <w:tcW w:type="dxa" w:w="2592"/>
            <w:vAlign w:val="top"/>
          </w:tcPr>
          <w:p>
            <w:pPr>
              <w:spacing w:after="40" w:before="0"/>
            </w:pPr>
            <w:r/>
            <w:r>
              <w:rPr>
                <w:b w:val="0"/>
              </w:rPr>
              <w:t>target.vpc_id</w:t>
            </w:r>
          </w:p>
        </w:tc>
        <w:tc>
          <w:tcPr>
            <w:tcW w:type="dxa" w:w="6912"/>
            <w:vAlign w:val="top"/>
          </w:tcPr>
          <w:p>
            <w:pPr>
              <w:spacing w:after="40" w:before="0"/>
            </w:pPr>
            <w:r/>
            <w:r>
              <w:rPr>
                <w:b w:val="0"/>
              </w:rPr>
              <w:t>Target VPC ID where missing SGs and rules are created.</w:t>
            </w:r>
          </w:p>
        </w:tc>
      </w:tr>
      <w:tr>
        <w:tc>
          <w:tcPr>
            <w:tcW w:type="dxa" w:w="2592"/>
            <w:vAlign w:val="top"/>
          </w:tcPr>
          <w:p>
            <w:pPr>
              <w:spacing w:after="40" w:before="0"/>
            </w:pPr>
            <w:r/>
            <w:r>
              <w:rPr>
                <w:b w:val="0"/>
              </w:rPr>
              <w:t>account_id</w:t>
            </w:r>
          </w:p>
        </w:tc>
        <w:tc>
          <w:tcPr>
            <w:tcW w:type="dxa" w:w="6912"/>
            <w:vAlign w:val="top"/>
          </w:tcPr>
          <w:p>
            <w:pPr>
              <w:spacing w:after="40" w:before="0"/>
            </w:pPr>
            <w:r/>
            <w:r>
              <w:rPr>
                <w:b w:val="0"/>
              </w:rPr>
              <w:t>Optional metadata used for operator validation and documentation. It does not replace AWS permissions.</w:t>
            </w:r>
          </w:p>
        </w:tc>
      </w:tr>
    </w:tbl>
    <w:p/>
    <w:tbl>
      <w:tblPr>
        <w:tblStyle w:val="TableGrid"/>
        <w:tblW w:type="auto" w:w="0"/>
        <w:tblLook w:firstColumn="1" w:firstRow="1" w:lastColumn="0" w:lastRow="0" w:noHBand="0" w:noVBand="1" w:val="04A0"/>
      </w:tblPr>
      <w:tblGrid>
        <w:gridCol w:w="10224"/>
      </w:tblGrid>
      <w:tr>
        <w:tc>
          <w:tcPr>
            <w:tcW w:type="dxa" w:w="10224"/>
            <w:shd w:fill="FFF2CC"/>
          </w:tcPr>
          <w:p>
            <w:r/>
            <w:r>
              <w:rPr>
                <w:b/>
                <w:color w:val="1F4E79"/>
              </w:rPr>
              <w:t xml:space="preserve">Access note: </w:t>
            </w:r>
            <w:r>
              <w:t>Knowing the source account number, region, and VPC ID is not enough for live discovery. The tool still needs an authorized identity that can call ec2:DescribeSecurityGroups in the source account.</w:t>
            </w:r>
          </w:p>
        </w:tc>
      </w:tr>
    </w:tbl>
    <w:p/>
    <w:p>
      <w:pPr>
        <w:pStyle w:val="Heading1"/>
      </w:pPr>
      <w:r>
        <w:t>5. AWS Access Requirements</w:t>
      </w:r>
    </w:p>
    <w:p>
      <w:r>
        <w:t>Because the tool performs live source-to-target comparison, the execution host must have access to both AWS accounts or profiles.</w:t>
      </w:r>
    </w:p>
    <w:tbl>
      <w:tblPr>
        <w:tblStyle w:val="TableGrid"/>
        <w:tblW w:type="auto" w:w="0"/>
        <w:jc w:val="center"/>
        <w:tblLook w:firstColumn="1" w:firstRow="1" w:lastColumn="0" w:lastRow="0" w:noHBand="0" w:noVBand="1" w:val="04A0"/>
      </w:tblPr>
      <w:tblGrid>
        <w:gridCol w:w="5112"/>
        <w:gridCol w:w="5112"/>
      </w:tblGrid>
      <w:tr>
        <w:tc>
          <w:tcPr>
            <w:tcW w:type="dxa" w:w="2448"/>
            <w:shd w:fill="1F4E79"/>
            <w:vAlign w:val="center"/>
          </w:tcPr>
          <w:p>
            <w:pPr>
              <w:spacing w:after="40" w:before="0"/>
            </w:pPr>
            <w:r/>
            <w:r>
              <w:rPr>
                <w:b/>
                <w:color w:val="FFFFFF"/>
              </w:rPr>
              <w:t>Profile</w:t>
            </w:r>
          </w:p>
        </w:tc>
        <w:tc>
          <w:tcPr>
            <w:tcW w:type="dxa" w:w="7056"/>
            <w:shd w:fill="1F4E79"/>
            <w:vAlign w:val="center"/>
          </w:tcPr>
          <w:p>
            <w:pPr>
              <w:spacing w:after="40" w:before="0"/>
            </w:pPr>
            <w:r/>
            <w:r>
              <w:rPr>
                <w:b/>
                <w:color w:val="FFFFFF"/>
              </w:rPr>
              <w:t>Minimum Required Permissions</w:t>
            </w:r>
          </w:p>
        </w:tc>
      </w:tr>
      <w:tr>
        <w:tc>
          <w:tcPr>
            <w:tcW w:type="dxa" w:w="2448"/>
            <w:vAlign w:val="top"/>
          </w:tcPr>
          <w:p>
            <w:pPr>
              <w:spacing w:after="40" w:before="0"/>
            </w:pPr>
            <w:r/>
            <w:r>
              <w:rPr>
                <w:b w:val="0"/>
              </w:rPr>
              <w:t>Source profile</w:t>
            </w:r>
          </w:p>
        </w:tc>
        <w:tc>
          <w:tcPr>
            <w:tcW w:type="dxa" w:w="7056"/>
            <w:vAlign w:val="top"/>
          </w:tcPr>
          <w:p>
            <w:pPr>
              <w:spacing w:after="40" w:before="0"/>
            </w:pPr>
            <w:r/>
            <w:r>
              <w:rPr>
                <w:b w:val="0"/>
              </w:rPr>
              <w:t>ec2:DescribeSecurityGroups, ec2:DescribeVpcs, ec2:DescribeTags</w:t>
            </w:r>
          </w:p>
        </w:tc>
      </w:tr>
      <w:tr>
        <w:tc>
          <w:tcPr>
            <w:tcW w:type="dxa" w:w="2448"/>
            <w:vAlign w:val="top"/>
          </w:tcPr>
          <w:p>
            <w:pPr>
              <w:spacing w:after="40" w:before="0"/>
            </w:pPr>
            <w:r/>
            <w:r>
              <w:rPr>
                <w:b w:val="0"/>
              </w:rPr>
              <w:t>Target profile</w:t>
            </w:r>
          </w:p>
        </w:tc>
        <w:tc>
          <w:tcPr>
            <w:tcW w:type="dxa" w:w="7056"/>
            <w:vAlign w:val="top"/>
          </w:tcPr>
          <w:p>
            <w:pPr>
              <w:spacing w:after="40" w:before="0"/>
            </w:pPr>
            <w:r/>
            <w:r>
              <w:rPr>
                <w:b w:val="0"/>
              </w:rPr>
              <w:t>ec2:DescribeSecurityGroups, ec2:DescribeVpcs, ec2:CreateSecurityGroup, ec2:AuthorizeSecurityGroupIngress, ec2:AuthorizeSecurityGroupEgress, ec2:CreateTags</w:t>
            </w:r>
          </w:p>
        </w:tc>
      </w:tr>
    </w:tbl>
    <w:p/>
    <w:p>
      <w:pPr>
        <w:pStyle w:val="CodeBlock"/>
      </w:pPr>
      <w:r>
        <w:rPr>
          <w:rFonts w:ascii="Courier New" w:hAnsi="Courier New" w:eastAsia="Courier New"/>
          <w:sz w:val="18"/>
        </w:rPr>
        <w:t>aws sso login --profile prod</w:t>
      </w:r>
      <w:r>
        <w:br/>
      </w:r>
      <w:r>
        <w:rPr>
          <w:rFonts w:ascii="Courier New" w:hAnsi="Courier New" w:eastAsia="Courier New"/>
          <w:sz w:val="18"/>
        </w:rPr>
        <w:t>aws sso login --profile dr</w:t>
      </w:r>
      <w:r>
        <w:br/>
      </w:r>
      <w:r>
        <w:rPr>
          <w:rFonts w:ascii="Courier New" w:hAnsi="Courier New" w:eastAsia="Courier New"/>
          <w:sz w:val="18"/>
        </w:rPr>
        <w:t>aws sts get-caller-identity --profile prod</w:t>
      </w:r>
      <w:r>
        <w:br/>
      </w:r>
      <w:r>
        <w:rPr>
          <w:rFonts w:ascii="Courier New" w:hAnsi="Courier New" w:eastAsia="Courier New"/>
          <w:sz w:val="18"/>
        </w:rPr>
        <w:t>aws sts get-caller-identity --profile dr</w:t>
      </w:r>
      <w:r>
        <w:br/>
      </w:r>
    </w:p>
    <w:p>
      <w:pPr>
        <w:pStyle w:val="Heading1"/>
      </w:pPr>
      <w:r>
        <w:t>6. Operating Modes</w:t>
      </w:r>
    </w:p>
    <w:tbl>
      <w:tblPr>
        <w:tblStyle w:val="TableGrid"/>
        <w:tblW w:type="auto" w:w="0"/>
        <w:jc w:val="center"/>
        <w:tblLook w:firstColumn="1" w:firstRow="1" w:lastColumn="0" w:lastRow="0" w:noHBand="0" w:noVBand="1" w:val="04A0"/>
      </w:tblPr>
      <w:tblGrid>
        <w:gridCol w:w="5112"/>
        <w:gridCol w:w="5112"/>
      </w:tblGrid>
      <w:tr>
        <w:tc>
          <w:tcPr>
            <w:tcW w:type="dxa" w:w="2016"/>
            <w:shd w:fill="1F4E79"/>
            <w:vAlign w:val="center"/>
          </w:tcPr>
          <w:p>
            <w:pPr>
              <w:spacing w:after="40" w:before="0"/>
            </w:pPr>
            <w:r/>
            <w:r>
              <w:rPr>
                <w:b/>
                <w:color w:val="FFFFFF"/>
              </w:rPr>
              <w:t>Mode</w:t>
            </w:r>
          </w:p>
        </w:tc>
        <w:tc>
          <w:tcPr>
            <w:tcW w:type="dxa" w:w="7488"/>
            <w:shd w:fill="1F4E79"/>
            <w:vAlign w:val="center"/>
          </w:tcPr>
          <w:p>
            <w:pPr>
              <w:spacing w:after="40" w:before="0"/>
            </w:pPr>
            <w:r/>
            <w:r>
              <w:rPr>
                <w:b/>
                <w:color w:val="FFFFFF"/>
              </w:rPr>
              <w:t>Behavior</w:t>
            </w:r>
          </w:p>
        </w:tc>
      </w:tr>
      <w:tr>
        <w:tc>
          <w:tcPr>
            <w:tcW w:type="dxa" w:w="2016"/>
            <w:vAlign w:val="top"/>
          </w:tcPr>
          <w:p>
            <w:pPr>
              <w:spacing w:after="40" w:before="0"/>
            </w:pPr>
            <w:r/>
            <w:r>
              <w:rPr>
                <w:b w:val="0"/>
              </w:rPr>
              <w:t>--report-only</w:t>
            </w:r>
          </w:p>
        </w:tc>
        <w:tc>
          <w:tcPr>
            <w:tcW w:type="dxa" w:w="7488"/>
            <w:vAlign w:val="top"/>
          </w:tcPr>
          <w:p>
            <w:pPr>
              <w:spacing w:after="40" w:before="0"/>
            </w:pPr>
            <w:r/>
            <w:r>
              <w:rPr>
                <w:b w:val="0"/>
              </w:rPr>
              <w:t>Reads both sides and builds the report only. No execution behavior, no AWS writes, no post-apply validation.</w:t>
            </w:r>
          </w:p>
        </w:tc>
      </w:tr>
      <w:tr>
        <w:tc>
          <w:tcPr>
            <w:tcW w:type="dxa" w:w="2016"/>
            <w:vAlign w:val="top"/>
          </w:tcPr>
          <w:p>
            <w:pPr>
              <w:spacing w:after="40" w:before="0"/>
            </w:pPr>
            <w:r/>
            <w:r>
              <w:rPr>
                <w:b w:val="0"/>
              </w:rPr>
              <w:t>--dry-run</w:t>
            </w:r>
          </w:p>
        </w:tc>
        <w:tc>
          <w:tcPr>
            <w:tcW w:type="dxa" w:w="7488"/>
            <w:vAlign w:val="top"/>
          </w:tcPr>
          <w:p>
            <w:pPr>
              <w:spacing w:after="40" w:before="0"/>
            </w:pPr>
            <w:r/>
            <w:r>
              <w:rPr>
                <w:b w:val="0"/>
              </w:rPr>
              <w:t>Reads both sides and simulates what would happen. No AWS changes. Post-apply validation is not run.</w:t>
            </w:r>
          </w:p>
        </w:tc>
      </w:tr>
      <w:tr>
        <w:tc>
          <w:tcPr>
            <w:tcW w:type="dxa" w:w="2016"/>
            <w:vAlign w:val="top"/>
          </w:tcPr>
          <w:p>
            <w:pPr>
              <w:spacing w:after="40" w:before="0"/>
            </w:pPr>
            <w:r/>
            <w:r>
              <w:rPr>
                <w:b w:val="0"/>
              </w:rPr>
              <w:t>--yes</w:t>
            </w:r>
          </w:p>
        </w:tc>
        <w:tc>
          <w:tcPr>
            <w:tcW w:type="dxa" w:w="7488"/>
            <w:vAlign w:val="top"/>
          </w:tcPr>
          <w:p>
            <w:pPr>
              <w:spacing w:after="40" w:before="0"/>
            </w:pPr>
            <w:r/>
            <w:r>
              <w:rPr>
                <w:b w:val="0"/>
              </w:rPr>
              <w:t>Applies missing SG shells, missing source-required rules, tag sync, then runs post-apply validation.</w:t>
            </w:r>
          </w:p>
        </w:tc>
      </w:tr>
    </w:tbl>
    <w:p/>
    <w:p>
      <w:pPr>
        <w:pStyle w:val="Heading2"/>
      </w:pPr>
      <w:r>
        <w:t>6.1 Report-Only</w:t>
      </w:r>
    </w:p>
    <w:p>
      <w:pPr>
        <w:pStyle w:val="CodeBlock"/>
      </w:pPr>
      <w:r>
        <w:rPr>
          <w:rFonts w:ascii="Courier New" w:hAnsi="Courier New" w:eastAsia="Courier New"/>
          <w:sz w:val="18"/>
        </w:rPr>
        <w:t>python sg_reconcile_engine.py --info-file sg-config.json --report-only</w:t>
      </w:r>
      <w:r>
        <w:br/>
      </w:r>
    </w:p>
    <w:p>
      <w:r>
        <w:t>Use report-only when the team only needs a state report without execution simulation.</w:t>
      </w:r>
    </w:p>
    <w:p>
      <w:pPr>
        <w:pStyle w:val="Heading2"/>
      </w:pPr>
      <w:r>
        <w:t>6.2 Dry Run</w:t>
      </w:r>
    </w:p>
    <w:p>
      <w:pPr>
        <w:pStyle w:val="CodeBlock"/>
      </w:pPr>
      <w:r>
        <w:rPr>
          <w:rFonts w:ascii="Courier New" w:hAnsi="Courier New" w:eastAsia="Courier New"/>
          <w:sz w:val="18"/>
        </w:rPr>
        <w:t>python sg_reconcile_engine.py --info-file sg-config.json --dry-run</w:t>
      </w:r>
      <w:r>
        <w:br/>
      </w:r>
    </w:p>
    <w:p>
      <w:r>
        <w:t>Dry-run mode is the standard first step before every apply operation.</w:t>
      </w:r>
    </w:p>
    <w:p>
      <w:pPr>
        <w:pStyle w:val="Heading2"/>
      </w:pPr>
      <w:r>
        <w:t>6.3 Apply Mode</w:t>
      </w:r>
    </w:p>
    <w:p>
      <w:pPr>
        <w:pStyle w:val="CodeBlock"/>
      </w:pPr>
      <w:r>
        <w:rPr>
          <w:rFonts w:ascii="Courier New" w:hAnsi="Courier New" w:eastAsia="Courier New"/>
          <w:sz w:val="18"/>
        </w:rPr>
        <w:t>python sg_reconcile_engine.py --info-file sg-config.json --yes</w:t>
      </w:r>
      <w:r>
        <w:br/>
      </w:r>
    </w:p>
    <w:p>
      <w:r>
        <w:t>Apply mode performs remediation and then runs post-apply validation. A clean result should show status PASSED and passed true in the post_apply_validation section.</w:t>
      </w:r>
    </w:p>
    <w:p>
      <w:pPr>
        <w:pStyle w:val="Heading1"/>
      </w:pPr>
      <w:r>
        <w:t>7. Reconciliation Policy</w:t>
      </w:r>
    </w:p>
    <w:p>
      <w:r>
        <w:t>The current policy is source-required-only. The target must contain all source-required security groups and rules, but it may contain additional rules.</w:t>
      </w:r>
    </w:p>
    <w:tbl>
      <w:tblPr>
        <w:tblStyle w:val="TableGrid"/>
        <w:tblW w:type="auto" w:w="0"/>
        <w:jc w:val="center"/>
        <w:tblLook w:firstColumn="1" w:firstRow="1" w:lastColumn="0" w:lastRow="0" w:noHBand="0" w:noVBand="1" w:val="04A0"/>
      </w:tblPr>
      <w:tblGrid>
        <w:gridCol w:w="5112"/>
        <w:gridCol w:w="5112"/>
      </w:tblGrid>
      <w:tr>
        <w:tc>
          <w:tcPr>
            <w:tcW w:type="dxa" w:w="3888"/>
            <w:shd w:fill="1F4E79"/>
            <w:vAlign w:val="center"/>
          </w:tcPr>
          <w:p>
            <w:pPr>
              <w:spacing w:after="40" w:before="0"/>
            </w:pPr>
            <w:r/>
            <w:r>
              <w:rPr>
                <w:b/>
                <w:color w:val="FFFFFF"/>
              </w:rPr>
              <w:t>Condition</w:t>
            </w:r>
          </w:p>
        </w:tc>
        <w:tc>
          <w:tcPr>
            <w:tcW w:type="dxa" w:w="5616"/>
            <w:shd w:fill="1F4E79"/>
            <w:vAlign w:val="center"/>
          </w:tcPr>
          <w:p>
            <w:pPr>
              <w:spacing w:after="40" w:before="0"/>
            </w:pPr>
            <w:r/>
            <w:r>
              <w:rPr>
                <w:b/>
                <w:color w:val="FFFFFF"/>
              </w:rPr>
              <w:t>Result</w:t>
            </w:r>
          </w:p>
        </w:tc>
      </w:tr>
      <w:tr>
        <w:tc>
          <w:tcPr>
            <w:tcW w:type="dxa" w:w="3888"/>
            <w:vAlign w:val="top"/>
          </w:tcPr>
          <w:p>
            <w:pPr>
              <w:spacing w:after="40" w:before="0"/>
            </w:pPr>
            <w:r/>
            <w:r>
              <w:rPr>
                <w:b w:val="0"/>
              </w:rPr>
              <w:t>Source SG missing in target</w:t>
            </w:r>
          </w:p>
        </w:tc>
        <w:tc>
          <w:tcPr>
            <w:tcW w:type="dxa" w:w="5616"/>
            <w:vAlign w:val="top"/>
          </w:tcPr>
          <w:p>
            <w:pPr>
              <w:spacing w:after="40" w:before="0"/>
            </w:pPr>
            <w:r/>
            <w:r>
              <w:rPr>
                <w:b w:val="0"/>
              </w:rPr>
              <w:t>Drift / create candidate</w:t>
            </w:r>
          </w:p>
        </w:tc>
      </w:tr>
      <w:tr>
        <w:tc>
          <w:tcPr>
            <w:tcW w:type="dxa" w:w="3888"/>
            <w:vAlign w:val="top"/>
          </w:tcPr>
          <w:p>
            <w:pPr>
              <w:spacing w:after="40" w:before="0"/>
            </w:pPr>
            <w:r/>
            <w:r>
              <w:rPr>
                <w:b w:val="0"/>
              </w:rPr>
              <w:t>Source-required rule missing in target</w:t>
            </w:r>
          </w:p>
        </w:tc>
        <w:tc>
          <w:tcPr>
            <w:tcW w:type="dxa" w:w="5616"/>
            <w:vAlign w:val="top"/>
          </w:tcPr>
          <w:p>
            <w:pPr>
              <w:spacing w:after="40" w:before="0"/>
            </w:pPr>
            <w:r/>
            <w:r>
              <w:rPr>
                <w:b w:val="0"/>
              </w:rPr>
              <w:t>Drift / update candidate</w:t>
            </w:r>
          </w:p>
        </w:tc>
      </w:tr>
      <w:tr>
        <w:tc>
          <w:tcPr>
            <w:tcW w:type="dxa" w:w="3888"/>
            <w:vAlign w:val="top"/>
          </w:tcPr>
          <w:p>
            <w:pPr>
              <w:spacing w:after="40" w:before="0"/>
            </w:pPr>
            <w:r/>
            <w:r>
              <w:rPr>
                <w:b w:val="0"/>
              </w:rPr>
              <w:t>Target has extra ingress rule</w:t>
            </w:r>
          </w:p>
        </w:tc>
        <w:tc>
          <w:tcPr>
            <w:tcW w:type="dxa" w:w="5616"/>
            <w:vAlign w:val="top"/>
          </w:tcPr>
          <w:p>
            <w:pPr>
              <w:spacing w:after="40" w:before="0"/>
            </w:pPr>
            <w:r/>
            <w:r>
              <w:rPr>
                <w:b w:val="0"/>
              </w:rPr>
              <w:t>Allowed by default</w:t>
            </w:r>
          </w:p>
        </w:tc>
      </w:tr>
      <w:tr>
        <w:tc>
          <w:tcPr>
            <w:tcW w:type="dxa" w:w="3888"/>
            <w:vAlign w:val="top"/>
          </w:tcPr>
          <w:p>
            <w:pPr>
              <w:spacing w:after="40" w:before="0"/>
            </w:pPr>
            <w:r/>
            <w:r>
              <w:rPr>
                <w:b w:val="0"/>
              </w:rPr>
              <w:t>Target has extra egress rule</w:t>
            </w:r>
          </w:p>
        </w:tc>
        <w:tc>
          <w:tcPr>
            <w:tcW w:type="dxa" w:w="5616"/>
            <w:vAlign w:val="top"/>
          </w:tcPr>
          <w:p>
            <w:pPr>
              <w:spacing w:after="40" w:before="0"/>
            </w:pPr>
            <w:r/>
            <w:r>
              <w:rPr>
                <w:b w:val="0"/>
              </w:rPr>
              <w:t>Allowed by default</w:t>
            </w:r>
          </w:p>
        </w:tc>
      </w:tr>
      <w:tr>
        <w:tc>
          <w:tcPr>
            <w:tcW w:type="dxa" w:w="3888"/>
            <w:vAlign w:val="top"/>
          </w:tcPr>
          <w:p>
            <w:pPr>
              <w:spacing w:after="40" w:before="0"/>
            </w:pPr>
            <w:r/>
            <w:r>
              <w:rPr>
                <w:b w:val="0"/>
              </w:rPr>
              <w:t>AWS default outbound rule exists in target</w:t>
            </w:r>
          </w:p>
        </w:tc>
        <w:tc>
          <w:tcPr>
            <w:tcW w:type="dxa" w:w="5616"/>
            <w:vAlign w:val="top"/>
          </w:tcPr>
          <w:p>
            <w:pPr>
              <w:spacing w:after="40" w:before="0"/>
            </w:pPr>
            <w:r/>
            <w:r>
              <w:rPr>
                <w:b w:val="0"/>
              </w:rPr>
              <w:t>Allowed by default</w:t>
            </w:r>
          </w:p>
        </w:tc>
      </w:tr>
      <w:tr>
        <w:tc>
          <w:tcPr>
            <w:tcW w:type="dxa" w:w="3888"/>
            <w:vAlign w:val="top"/>
          </w:tcPr>
          <w:p>
            <w:pPr>
              <w:spacing w:after="40" w:before="0"/>
            </w:pPr>
            <w:r/>
            <w:r>
              <w:rPr>
                <w:b w:val="0"/>
              </w:rPr>
              <w:t>Tags differ</w:t>
            </w:r>
          </w:p>
        </w:tc>
        <w:tc>
          <w:tcPr>
            <w:tcW w:type="dxa" w:w="5616"/>
            <w:vAlign w:val="top"/>
          </w:tcPr>
          <w:p>
            <w:pPr>
              <w:spacing w:after="40" w:before="0"/>
            </w:pPr>
            <w:r/>
            <w:r>
              <w:rPr>
                <w:b w:val="0"/>
              </w:rPr>
              <w:t>Tag drift</w:t>
            </w:r>
          </w:p>
        </w:tc>
      </w:tr>
      <w:tr>
        <w:tc>
          <w:tcPr>
            <w:tcW w:type="dxa" w:w="3888"/>
            <w:vAlign w:val="top"/>
          </w:tcPr>
          <w:p>
            <w:pPr>
              <w:spacing w:after="40" w:before="0"/>
            </w:pPr>
            <w:r/>
            <w:r>
              <w:rPr>
                <w:b w:val="0"/>
              </w:rPr>
              <w:t>SG-level descriptions differ</w:t>
            </w:r>
          </w:p>
        </w:tc>
        <w:tc>
          <w:tcPr>
            <w:tcW w:type="dxa" w:w="5616"/>
            <w:vAlign w:val="top"/>
          </w:tcPr>
          <w:p>
            <w:pPr>
              <w:spacing w:after="40" w:before="0"/>
            </w:pPr>
            <w:r/>
            <w:r>
              <w:rPr>
                <w:b w:val="0"/>
              </w:rPr>
              <w:t>Visibility-only description drift</w:t>
            </w:r>
          </w:p>
        </w:tc>
      </w:tr>
      <w:tr>
        <w:tc>
          <w:tcPr>
            <w:tcW w:type="dxa" w:w="3888"/>
            <w:vAlign w:val="top"/>
          </w:tcPr>
          <w:p>
            <w:pPr>
              <w:spacing w:after="40" w:before="0"/>
            </w:pPr>
            <w:r/>
            <w:r>
              <w:rPr>
                <w:b w:val="0"/>
              </w:rPr>
              <w:t>SG reference cannot be mapped</w:t>
            </w:r>
          </w:p>
        </w:tc>
        <w:tc>
          <w:tcPr>
            <w:tcW w:type="dxa" w:w="5616"/>
            <w:vAlign w:val="top"/>
          </w:tcPr>
          <w:p>
            <w:pPr>
              <w:spacing w:after="40" w:before="0"/>
            </w:pPr>
            <w:r/>
            <w:r>
              <w:rPr>
                <w:b w:val="0"/>
              </w:rPr>
              <w:t>Unresolved dependency</w:t>
            </w:r>
          </w:p>
        </w:tc>
      </w:tr>
    </w:tbl>
    <w:p/>
    <w:tbl>
      <w:tblPr>
        <w:tblStyle w:val="TableGrid"/>
        <w:tblW w:type="auto" w:w="0"/>
        <w:tblLook w:firstColumn="1" w:firstRow="1" w:lastColumn="0" w:lastRow="0" w:noHBand="0" w:noVBand="1" w:val="04A0"/>
      </w:tblPr>
      <w:tblGrid>
        <w:gridCol w:w="10224"/>
      </w:tblGrid>
      <w:tr>
        <w:tc>
          <w:tcPr>
            <w:tcW w:type="dxa" w:w="10224"/>
            <w:shd w:fill="EAF2F8"/>
          </w:tcPr>
          <w:p>
            <w:r/>
            <w:r>
              <w:rPr>
                <w:b/>
                <w:color w:val="1F4E79"/>
              </w:rPr>
              <w:t xml:space="preserve">Important: </w:t>
            </w:r>
            <w:r>
              <w:t>The tool does not actively remove extra target ingress or egress rules in the current source-required-only policy.</w:t>
            </w:r>
          </w:p>
        </w:tc>
      </w:tr>
    </w:tbl>
    <w:p/>
    <w:p>
      <w:pPr>
        <w:pStyle w:val="Heading1"/>
      </w:pPr>
      <w:r>
        <w:t>8. Atomic Traffic-Behavior Rule Comparison</w:t>
      </w:r>
    </w:p>
    <w:p>
      <w:r>
        <w:t>The current version compares rules by atomic traffic behavior rather than by full AWS IpPermissions blocks. This is important because AWS may group, order, or serialize equivalent rules differently across accounts and API responses.</w:t>
      </w:r>
    </w:p>
    <w:tbl>
      <w:tblPr>
        <w:tblStyle w:val="TableGrid"/>
        <w:tblW w:type="auto" w:w="0"/>
        <w:jc w:val="center"/>
        <w:tblLook w:firstColumn="1" w:firstRow="1" w:lastColumn="0" w:lastRow="0" w:noHBand="0" w:noVBand="1" w:val="04A0"/>
      </w:tblPr>
      <w:tblGrid>
        <w:gridCol w:w="5112"/>
        <w:gridCol w:w="5112"/>
      </w:tblGrid>
      <w:tr>
        <w:tc>
          <w:tcPr>
            <w:tcW w:type="dxa" w:w="3456"/>
            <w:shd w:fill="1F4E79"/>
            <w:vAlign w:val="center"/>
          </w:tcPr>
          <w:p>
            <w:pPr>
              <w:spacing w:after="40" w:before="0"/>
            </w:pPr>
            <w:r/>
            <w:r>
              <w:rPr>
                <w:b/>
                <w:color w:val="FFFFFF"/>
              </w:rPr>
              <w:t>Comparison Component</w:t>
            </w:r>
          </w:p>
        </w:tc>
        <w:tc>
          <w:tcPr>
            <w:tcW w:type="dxa" w:w="6048"/>
            <w:shd w:fill="1F4E79"/>
            <w:vAlign w:val="center"/>
          </w:tcPr>
          <w:p>
            <w:pPr>
              <w:spacing w:after="40" w:before="0"/>
            </w:pPr>
            <w:r/>
            <w:r>
              <w:rPr>
                <w:b/>
                <w:color w:val="FFFFFF"/>
              </w:rPr>
              <w:t>Example</w:t>
            </w:r>
          </w:p>
        </w:tc>
      </w:tr>
      <w:tr>
        <w:tc>
          <w:tcPr>
            <w:tcW w:type="dxa" w:w="3456"/>
            <w:vAlign w:val="top"/>
          </w:tcPr>
          <w:p>
            <w:pPr>
              <w:spacing w:after="40" w:before="0"/>
            </w:pPr>
            <w:r/>
            <w:r>
              <w:rPr>
                <w:b w:val="0"/>
              </w:rPr>
              <w:t>Protocol</w:t>
            </w:r>
          </w:p>
        </w:tc>
        <w:tc>
          <w:tcPr>
            <w:tcW w:type="dxa" w:w="6048"/>
            <w:vAlign w:val="top"/>
          </w:tcPr>
          <w:p>
            <w:pPr>
              <w:spacing w:after="40" w:before="0"/>
            </w:pPr>
            <w:r/>
            <w:r>
              <w:rPr>
                <w:b w:val="0"/>
              </w:rPr>
              <w:t>tcp, udp, icmp, -1</w:t>
            </w:r>
          </w:p>
        </w:tc>
      </w:tr>
      <w:tr>
        <w:tc>
          <w:tcPr>
            <w:tcW w:type="dxa" w:w="3456"/>
            <w:vAlign w:val="top"/>
          </w:tcPr>
          <w:p>
            <w:pPr>
              <w:spacing w:after="40" w:before="0"/>
            </w:pPr>
            <w:r/>
            <w:r>
              <w:rPr>
                <w:b w:val="0"/>
              </w:rPr>
              <w:t>FromPort / ToPort</w:t>
            </w:r>
          </w:p>
        </w:tc>
        <w:tc>
          <w:tcPr>
            <w:tcW w:type="dxa" w:w="6048"/>
            <w:vAlign w:val="top"/>
          </w:tcPr>
          <w:p>
            <w:pPr>
              <w:spacing w:after="40" w:before="0"/>
            </w:pPr>
            <w:r/>
            <w:r>
              <w:rPr>
                <w:b w:val="0"/>
              </w:rPr>
              <w:t>443 / 443, 0 / 65535, None for -1</w:t>
            </w:r>
          </w:p>
        </w:tc>
      </w:tr>
      <w:tr>
        <w:tc>
          <w:tcPr>
            <w:tcW w:type="dxa" w:w="3456"/>
            <w:vAlign w:val="top"/>
          </w:tcPr>
          <w:p>
            <w:pPr>
              <w:spacing w:after="40" w:before="0"/>
            </w:pPr>
            <w:r/>
            <w:r>
              <w:rPr>
                <w:b w:val="0"/>
              </w:rPr>
              <w:t>Source/Destination Type</w:t>
            </w:r>
          </w:p>
        </w:tc>
        <w:tc>
          <w:tcPr>
            <w:tcW w:type="dxa" w:w="6048"/>
            <w:vAlign w:val="top"/>
          </w:tcPr>
          <w:p>
            <w:pPr>
              <w:spacing w:after="40" w:before="0"/>
            </w:pPr>
            <w:r/>
            <w:r>
              <w:rPr>
                <w:b w:val="0"/>
              </w:rPr>
              <w:t>cidr, ipv6, prefix-list, sg</w:t>
            </w:r>
          </w:p>
        </w:tc>
      </w:tr>
      <w:tr>
        <w:tc>
          <w:tcPr>
            <w:tcW w:type="dxa" w:w="3456"/>
            <w:vAlign w:val="top"/>
          </w:tcPr>
          <w:p>
            <w:pPr>
              <w:spacing w:after="40" w:before="0"/>
            </w:pPr>
            <w:r/>
            <w:r>
              <w:rPr>
                <w:b w:val="0"/>
              </w:rPr>
              <w:t>Source/Destination Value</w:t>
            </w:r>
          </w:p>
        </w:tc>
        <w:tc>
          <w:tcPr>
            <w:tcW w:type="dxa" w:w="6048"/>
            <w:vAlign w:val="top"/>
          </w:tcPr>
          <w:p>
            <w:pPr>
              <w:spacing w:after="40" w:before="0"/>
            </w:pPr>
            <w:r/>
            <w:r>
              <w:rPr>
                <w:b w:val="0"/>
              </w:rPr>
              <w:t>10.0.1.0/24, sg-target-id, pl-xxxxxxxx</w:t>
            </w:r>
          </w:p>
        </w:tc>
      </w:tr>
    </w:tbl>
    <w:p/>
    <w:p>
      <w:r>
        <w:t>The comparison intentionally ignores non-traffic metadata:</w:t>
      </w:r>
    </w:p>
    <w:p>
      <w:pPr>
        <w:pStyle w:val="ListBullet"/>
      </w:pPr>
      <w:r>
        <w:t>source account UserId</w:t>
      </w:r>
    </w:p>
    <w:p>
      <w:pPr>
        <w:pStyle w:val="ListBullet"/>
      </w:pPr>
      <w:r>
        <w:t>rule descriptions</w:t>
      </w:r>
    </w:p>
    <w:p>
      <w:pPr>
        <w:pStyle w:val="ListBullet"/>
      </w:pPr>
      <w:r>
        <w:t>VPC ID metadata</w:t>
      </w:r>
    </w:p>
    <w:p>
      <w:pPr>
        <w:pStyle w:val="ListBullet"/>
      </w:pPr>
      <w:r>
        <w:t>VPC peering metadata</w:t>
      </w:r>
    </w:p>
    <w:p>
      <w:pPr>
        <w:pStyle w:val="ListBullet"/>
      </w:pPr>
      <w:r>
        <w:t>peering status</w:t>
      </w:r>
    </w:p>
    <w:p>
      <w:pPr>
        <w:pStyle w:val="ListBullet"/>
      </w:pPr>
      <w:r>
        <w:t>AWS return ordering</w:t>
      </w:r>
    </w:p>
    <w:p>
      <w:pPr>
        <w:pStyle w:val="ListBullet"/>
      </w:pPr>
      <w:r>
        <w:t>AWS grouping of multiple sources into one permission block</w:t>
      </w:r>
    </w:p>
    <w:p>
      <w:pPr>
        <w:pStyle w:val="CodeBlock"/>
      </w:pPr>
      <w:r>
        <w:rPr>
          <w:rFonts w:ascii="Courier New" w:hAnsi="Courier New" w:eastAsia="Courier New"/>
          <w:sz w:val="18"/>
        </w:rPr>
        <w:t>Example atomic keys:</w:t>
      </w:r>
      <w:r>
        <w:br/>
      </w:r>
      <w:r>
        <w:rPr>
          <w:rFonts w:ascii="Courier New" w:hAnsi="Courier New" w:eastAsia="Courier New"/>
          <w:sz w:val="18"/>
        </w:rPr>
        <w:t>tcp | 443  | 443  | cidr        | 10.0.1.0/24</w:t>
      </w:r>
      <w:r>
        <w:br/>
      </w:r>
      <w:r>
        <w:rPr>
          <w:rFonts w:ascii="Courier New" w:hAnsi="Courier New" w:eastAsia="Courier New"/>
          <w:sz w:val="18"/>
        </w:rPr>
        <w:t>tcp | 3306 | 3306 | sg          | sg-target-db-id</w:t>
      </w:r>
      <w:r>
        <w:br/>
      </w:r>
      <w:r>
        <w:rPr>
          <w:rFonts w:ascii="Courier New" w:hAnsi="Courier New" w:eastAsia="Courier New"/>
          <w:sz w:val="18"/>
        </w:rPr>
        <w:t>-1  | none | none | cidr        | 0.0.0.0/0</w:t>
      </w:r>
      <w:r>
        <w:br/>
      </w:r>
      <w:r>
        <w:rPr>
          <w:rFonts w:ascii="Courier New" w:hAnsi="Courier New" w:eastAsia="Courier New"/>
          <w:sz w:val="18"/>
        </w:rPr>
        <w:t>tcp | 443  | 443  | prefix-list | pl-xxxxxxxx</w:t>
      </w:r>
      <w:r>
        <w:br/>
      </w:r>
    </w:p>
    <w:p>
      <w:pPr>
        <w:pStyle w:val="Heading1"/>
      </w:pPr>
      <w:r>
        <w:t>9. Matching Logic</w:t>
      </w:r>
    </w:p>
    <w:p>
      <w:pPr>
        <w:pStyle w:val="ListBullet"/>
      </w:pPr>
      <w:r>
        <w:t>Canonical name match: safest and preferred matching approach.</w:t>
      </w:r>
    </w:p>
    <w:p>
      <w:pPr>
        <w:pStyle w:val="ListBullet"/>
      </w:pPr>
      <w:r>
        <w:t>CloudFormation tag match: uses stack-name and logical-id tags when available.</w:t>
      </w:r>
    </w:p>
    <w:p>
      <w:pPr>
        <w:pStyle w:val="ListBullet"/>
      </w:pPr>
      <w:r>
        <w:t>Optional normalized-name fallback: enabled with --allow-legacy and blocked when ambiguous.</w:t>
      </w:r>
    </w:p>
    <w:p>
      <w:pPr>
        <w:pStyle w:val="ListBullet"/>
      </w:pPr>
      <w:r>
        <w:t>Directory Service SG exclusion: d-xxxxxxxx_controllers and d-xxxxxxxx_workers are excluded from normal reconciliation.</w:t>
      </w:r>
    </w:p>
    <w:p>
      <w:r>
        <w:t>Do not use SG descriptions as a primary matching key. SG descriptions are not unique, may be generic, and cannot be safely remediated in place.</w:t>
      </w:r>
    </w:p>
    <w:p>
      <w:pPr>
        <w:pStyle w:val="Heading1"/>
      </w:pPr>
      <w:r>
        <w:t>10. Dependency and SG-to-SG Reference Handling</w:t>
      </w:r>
    </w:p>
    <w:p>
      <w:r>
        <w:t>Security group rules can reference other security groups. The tool handles this by creating SG shells first, building the source-to-target SG ID map, and then applying rules.</w:t>
      </w:r>
    </w:p>
    <w:p>
      <w:pPr>
        <w:pStyle w:val="CodeBlock"/>
      </w:pPr>
      <w:r>
        <w:rPr>
          <w:rFonts w:ascii="Courier New" w:hAnsi="Courier New" w:eastAsia="Courier New"/>
          <w:sz w:val="18"/>
        </w:rPr>
        <w:t>Source:</w:t>
      </w:r>
      <w:r>
        <w:br/>
      </w:r>
      <w:r>
        <w:rPr>
          <w:rFonts w:ascii="Courier New" w:hAnsi="Courier New" w:eastAsia="Courier New"/>
          <w:sz w:val="18"/>
        </w:rPr>
        <w:t>my-sg-b allows ingress from my-sg-a</w:t>
      </w:r>
      <w:r>
        <w:br/>
      </w:r>
      <w:r>
        <w:rPr>
          <w:rFonts w:ascii="Courier New" w:hAnsi="Courier New" w:eastAsia="Courier New"/>
          <w:sz w:val="18"/>
        </w:rPr>
      </w:r>
      <w:r>
        <w:br/>
      </w:r>
      <w:r>
        <w:rPr>
          <w:rFonts w:ascii="Courier New" w:hAnsi="Courier New" w:eastAsia="Courier New"/>
          <w:sz w:val="18"/>
        </w:rPr>
        <w:t>Target after sync:</w:t>
      </w:r>
      <w:r>
        <w:br/>
      </w:r>
      <w:r>
        <w:rPr>
          <w:rFonts w:ascii="Courier New" w:hAnsi="Courier New" w:eastAsia="Courier New"/>
          <w:sz w:val="18"/>
        </w:rPr>
        <w:t>my-sg-b allows ingress from the target version of my-sg-a</w:t>
      </w:r>
      <w:r>
        <w:br/>
      </w:r>
    </w:p>
    <w:p>
      <w:r>
        <w:t>The tool rewrites SG references using clean target-side GroupId values. It does not copy source account metadata, source VPC metadata, VPC peering fields, or peering status into the target rule.</w:t>
      </w:r>
    </w:p>
    <w:p>
      <w:r>
        <w:t>Dependency cycles are handled by creating SG shells first and applying rules only after the target ID map is available. Cycle groups are reported in the Terraform-like plan.</w:t>
      </w:r>
    </w:p>
    <w:p>
      <w:pPr>
        <w:pStyle w:val="Heading1"/>
      </w:pPr>
      <w:r>
        <w:t>11. Post-Apply Validation</w:t>
      </w:r>
    </w:p>
    <w:p>
      <w:r>
        <w:t>Post-apply validation runs automatically after --yes. It re-fetches target security groups, rebuilds the plan, and confirms whether the target state converged.</w:t>
      </w:r>
    </w:p>
    <w:tbl>
      <w:tblPr>
        <w:tblStyle w:val="TableGrid"/>
        <w:tblW w:type="auto" w:w="0"/>
        <w:jc w:val="center"/>
        <w:tblLook w:firstColumn="1" w:firstRow="1" w:lastColumn="0" w:lastRow="0" w:noHBand="0" w:noVBand="1" w:val="04A0"/>
      </w:tblPr>
      <w:tblGrid>
        <w:gridCol w:w="5112"/>
        <w:gridCol w:w="5112"/>
      </w:tblGrid>
      <w:tr>
        <w:tc>
          <w:tcPr>
            <w:tcW w:type="dxa" w:w="3168"/>
            <w:shd w:fill="1F4E79"/>
            <w:vAlign w:val="center"/>
          </w:tcPr>
          <w:p>
            <w:pPr>
              <w:spacing w:after="40" w:before="0"/>
            </w:pPr>
            <w:r/>
            <w:r>
              <w:rPr>
                <w:b/>
                <w:color w:val="FFFFFF"/>
              </w:rPr>
              <w:t>Field</w:t>
            </w:r>
          </w:p>
        </w:tc>
        <w:tc>
          <w:tcPr>
            <w:tcW w:type="dxa" w:w="6336"/>
            <w:shd w:fill="1F4E79"/>
            <w:vAlign w:val="center"/>
          </w:tcPr>
          <w:p>
            <w:pPr>
              <w:spacing w:after="40" w:before="0"/>
            </w:pPr>
            <w:r/>
            <w:r>
              <w:rPr>
                <w:b/>
                <w:color w:val="FFFFFF"/>
              </w:rPr>
              <w:t>Meaning</w:t>
            </w:r>
          </w:p>
        </w:tc>
      </w:tr>
      <w:tr>
        <w:tc>
          <w:tcPr>
            <w:tcW w:type="dxa" w:w="3168"/>
            <w:vAlign w:val="top"/>
          </w:tcPr>
          <w:p>
            <w:pPr>
              <w:spacing w:after="40" w:before="0"/>
            </w:pPr>
            <w:r/>
            <w:r>
              <w:rPr>
                <w:b w:val="0"/>
              </w:rPr>
              <w:t>enabled</w:t>
            </w:r>
          </w:p>
        </w:tc>
        <w:tc>
          <w:tcPr>
            <w:tcW w:type="dxa" w:w="6336"/>
            <w:vAlign w:val="top"/>
          </w:tcPr>
          <w:p>
            <w:pPr>
              <w:spacing w:after="40" w:before="0"/>
            </w:pPr>
            <w:r/>
            <w:r>
              <w:rPr>
                <w:b w:val="0"/>
              </w:rPr>
              <w:t>Whether post-apply validation ran.</w:t>
            </w:r>
          </w:p>
        </w:tc>
      </w:tr>
      <w:tr>
        <w:tc>
          <w:tcPr>
            <w:tcW w:type="dxa" w:w="3168"/>
            <w:vAlign w:val="top"/>
          </w:tcPr>
          <w:p>
            <w:pPr>
              <w:spacing w:after="40" w:before="0"/>
            </w:pPr>
            <w:r/>
            <w:r>
              <w:rPr>
                <w:b w:val="0"/>
              </w:rPr>
              <w:t>status</w:t>
            </w:r>
          </w:p>
        </w:tc>
        <w:tc>
          <w:tcPr>
            <w:tcW w:type="dxa" w:w="6336"/>
            <w:vAlign w:val="top"/>
          </w:tcPr>
          <w:p>
            <w:pPr>
              <w:spacing w:after="40" w:before="0"/>
            </w:pPr>
            <w:r/>
            <w:r>
              <w:rPr>
                <w:b w:val="0"/>
              </w:rPr>
              <w:t>PASSED, FAILED, or NOT_RUN.</w:t>
            </w:r>
          </w:p>
        </w:tc>
      </w:tr>
      <w:tr>
        <w:tc>
          <w:tcPr>
            <w:tcW w:type="dxa" w:w="3168"/>
            <w:vAlign w:val="top"/>
          </w:tcPr>
          <w:p>
            <w:pPr>
              <w:spacing w:after="40" w:before="0"/>
            </w:pPr>
            <w:r/>
            <w:r>
              <w:rPr>
                <w:b w:val="0"/>
              </w:rPr>
              <w:t>passed</w:t>
            </w:r>
          </w:p>
        </w:tc>
        <w:tc>
          <w:tcPr>
            <w:tcW w:type="dxa" w:w="6336"/>
            <w:vAlign w:val="top"/>
          </w:tcPr>
          <w:p>
            <w:pPr>
              <w:spacing w:after="40" w:before="0"/>
            </w:pPr>
            <w:r/>
            <w:r>
              <w:rPr>
                <w:b w:val="0"/>
              </w:rPr>
              <w:t>Boolean validation result.</w:t>
            </w:r>
          </w:p>
        </w:tc>
      </w:tr>
      <w:tr>
        <w:tc>
          <w:tcPr>
            <w:tcW w:type="dxa" w:w="3168"/>
            <w:vAlign w:val="top"/>
          </w:tcPr>
          <w:p>
            <w:pPr>
              <w:spacing w:after="40" w:before="0"/>
            </w:pPr>
            <w:r/>
            <w:r>
              <w:rPr>
                <w:b w:val="0"/>
              </w:rPr>
              <w:t>summary.missing</w:t>
            </w:r>
          </w:p>
        </w:tc>
        <w:tc>
          <w:tcPr>
            <w:tcW w:type="dxa" w:w="6336"/>
            <w:vAlign w:val="top"/>
          </w:tcPr>
          <w:p>
            <w:pPr>
              <w:spacing w:after="40" w:before="0"/>
            </w:pPr>
            <w:r/>
            <w:r>
              <w:rPr>
                <w:b w:val="0"/>
              </w:rPr>
              <w:t>Missing SGs after apply.</w:t>
            </w:r>
          </w:p>
        </w:tc>
      </w:tr>
      <w:tr>
        <w:tc>
          <w:tcPr>
            <w:tcW w:type="dxa" w:w="3168"/>
            <w:vAlign w:val="top"/>
          </w:tcPr>
          <w:p>
            <w:pPr>
              <w:spacing w:after="40" w:before="0"/>
            </w:pPr>
            <w:r/>
            <w:r>
              <w:rPr>
                <w:b w:val="0"/>
              </w:rPr>
              <w:t>summary.drifted</w:t>
            </w:r>
          </w:p>
        </w:tc>
        <w:tc>
          <w:tcPr>
            <w:tcW w:type="dxa" w:w="6336"/>
            <w:vAlign w:val="top"/>
          </w:tcPr>
          <w:p>
            <w:pPr>
              <w:spacing w:after="40" w:before="0"/>
            </w:pPr>
            <w:r/>
            <w:r>
              <w:rPr>
                <w:b w:val="0"/>
              </w:rPr>
              <w:t>Drifted SGs after apply.</w:t>
            </w:r>
          </w:p>
        </w:tc>
      </w:tr>
      <w:tr>
        <w:tc>
          <w:tcPr>
            <w:tcW w:type="dxa" w:w="3168"/>
            <w:vAlign w:val="top"/>
          </w:tcPr>
          <w:p>
            <w:pPr>
              <w:spacing w:after="40" w:before="0"/>
            </w:pPr>
            <w:r/>
            <w:r>
              <w:rPr>
                <w:b w:val="0"/>
              </w:rPr>
              <w:t>summary.unresolved_dependencies</w:t>
            </w:r>
          </w:p>
        </w:tc>
        <w:tc>
          <w:tcPr>
            <w:tcW w:type="dxa" w:w="6336"/>
            <w:vAlign w:val="top"/>
          </w:tcPr>
          <w:p>
            <w:pPr>
              <w:spacing w:after="40" w:before="0"/>
            </w:pPr>
            <w:r/>
            <w:r>
              <w:rPr>
                <w:b w:val="0"/>
              </w:rPr>
              <w:t>Unresolved SG references after apply.</w:t>
            </w:r>
          </w:p>
        </w:tc>
      </w:tr>
      <w:tr>
        <w:tc>
          <w:tcPr>
            <w:tcW w:type="dxa" w:w="3168"/>
            <w:vAlign w:val="top"/>
          </w:tcPr>
          <w:p>
            <w:pPr>
              <w:spacing w:after="40" w:before="0"/>
            </w:pPr>
            <w:r/>
            <w:r>
              <w:rPr>
                <w:b w:val="0"/>
              </w:rPr>
              <w:t>summary.create</w:t>
            </w:r>
          </w:p>
        </w:tc>
        <w:tc>
          <w:tcPr>
            <w:tcW w:type="dxa" w:w="6336"/>
            <w:vAlign w:val="top"/>
          </w:tcPr>
          <w:p>
            <w:pPr>
              <w:spacing w:after="40" w:before="0"/>
            </w:pPr>
            <w:r/>
            <w:r>
              <w:rPr>
                <w:b w:val="0"/>
              </w:rPr>
              <w:t>SGs still requiring creation after apply.</w:t>
            </w:r>
          </w:p>
        </w:tc>
      </w:tr>
      <w:tr>
        <w:tc>
          <w:tcPr>
            <w:tcW w:type="dxa" w:w="3168"/>
            <w:vAlign w:val="top"/>
          </w:tcPr>
          <w:p>
            <w:pPr>
              <w:spacing w:after="40" w:before="0"/>
            </w:pPr>
            <w:r/>
            <w:r>
              <w:rPr>
                <w:b w:val="0"/>
              </w:rPr>
              <w:t>summary.update</w:t>
            </w:r>
          </w:p>
        </w:tc>
        <w:tc>
          <w:tcPr>
            <w:tcW w:type="dxa" w:w="6336"/>
            <w:vAlign w:val="top"/>
          </w:tcPr>
          <w:p>
            <w:pPr>
              <w:spacing w:after="40" w:before="0"/>
            </w:pPr>
            <w:r/>
            <w:r>
              <w:rPr>
                <w:b w:val="0"/>
              </w:rPr>
              <w:t>SGs still requiring updates after apply.</w:t>
            </w:r>
          </w:p>
        </w:tc>
      </w:tr>
    </w:tbl>
    <w:p/>
    <w:p>
      <w:pPr>
        <w:pStyle w:val="CodeBlock"/>
      </w:pPr>
      <w:r>
        <w:rPr>
          <w:rFonts w:ascii="Courier New" w:hAnsi="Courier New" w:eastAsia="Courier New"/>
          <w:sz w:val="18"/>
        </w:rPr>
        <w:t>"post_apply_validation": {</w:t>
      </w:r>
      <w:r>
        <w:br/>
      </w:r>
      <w:r>
        <w:rPr>
          <w:rFonts w:ascii="Courier New" w:hAnsi="Courier New" w:eastAsia="Courier New"/>
          <w:sz w:val="18"/>
        </w:rPr>
        <w:t xml:space="preserve">  "enabled": true,</w:t>
      </w:r>
      <w:r>
        <w:br/>
      </w:r>
      <w:r>
        <w:rPr>
          <w:rFonts w:ascii="Courier New" w:hAnsi="Courier New" w:eastAsia="Courier New"/>
          <w:sz w:val="18"/>
        </w:rPr>
        <w:t xml:space="preserve">  "status": "PASSED",</w:t>
      </w:r>
      <w:r>
        <w:br/>
      </w:r>
      <w:r>
        <w:rPr>
          <w:rFonts w:ascii="Courier New" w:hAnsi="Courier New" w:eastAsia="Courier New"/>
          <w:sz w:val="18"/>
        </w:rPr>
        <w:t xml:space="preserve">  "passed": true,</w:t>
      </w:r>
      <w:r>
        <w:br/>
      </w:r>
      <w:r>
        <w:rPr>
          <w:rFonts w:ascii="Courier New" w:hAnsi="Courier New" w:eastAsia="Courier New"/>
          <w:sz w:val="18"/>
        </w:rPr>
        <w:t xml:space="preserve">  "summary": {</w:t>
      </w:r>
      <w:r>
        <w:br/>
      </w:r>
      <w:r>
        <w:rPr>
          <w:rFonts w:ascii="Courier New" w:hAnsi="Courier New" w:eastAsia="Courier New"/>
          <w:sz w:val="18"/>
        </w:rPr>
        <w:t xml:space="preserve">    "missing": 0,</w:t>
      </w:r>
      <w:r>
        <w:br/>
      </w:r>
      <w:r>
        <w:rPr>
          <w:rFonts w:ascii="Courier New" w:hAnsi="Courier New" w:eastAsia="Courier New"/>
          <w:sz w:val="18"/>
        </w:rPr>
        <w:t xml:space="preserve">    "drifted": 0,</w:t>
      </w:r>
      <w:r>
        <w:br/>
      </w:r>
      <w:r>
        <w:rPr>
          <w:rFonts w:ascii="Courier New" w:hAnsi="Courier New" w:eastAsia="Courier New"/>
          <w:sz w:val="18"/>
        </w:rPr>
        <w:t xml:space="preserve">    "unresolved_dependencies": 0,</w:t>
      </w:r>
      <w:r>
        <w:br/>
      </w:r>
      <w:r>
        <w:rPr>
          <w:rFonts w:ascii="Courier New" w:hAnsi="Courier New" w:eastAsia="Courier New"/>
          <w:sz w:val="18"/>
        </w:rPr>
        <w:t xml:space="preserve">    "create": 0,</w:t>
      </w:r>
      <w:r>
        <w:br/>
      </w:r>
      <w:r>
        <w:rPr>
          <w:rFonts w:ascii="Courier New" w:hAnsi="Courier New" w:eastAsia="Courier New"/>
          <w:sz w:val="18"/>
        </w:rPr>
        <w:t xml:space="preserve">    "update": 0</w:t>
      </w:r>
      <w:r>
        <w:br/>
      </w:r>
      <w:r>
        <w:rPr>
          <w:rFonts w:ascii="Courier New" w:hAnsi="Courier New" w:eastAsia="Courier New"/>
          <w:sz w:val="18"/>
        </w:rPr>
        <w:t xml:space="preserve">  }</w:t>
      </w:r>
      <w:r>
        <w:br/>
      </w:r>
      <w:r>
        <w:rPr>
          <w:rFonts w:ascii="Courier New" w:hAnsi="Courier New" w:eastAsia="Courier New"/>
          <w:sz w:val="18"/>
        </w:rPr>
        <w:t>}</w:t>
      </w:r>
      <w:r>
        <w:br/>
      </w:r>
    </w:p>
    <w:tbl>
      <w:tblPr>
        <w:tblStyle w:val="TableGrid"/>
        <w:tblW w:type="auto" w:w="0"/>
        <w:tblLook w:firstColumn="1" w:firstRow="1" w:lastColumn="0" w:lastRow="0" w:noHBand="0" w:noVBand="1" w:val="04A0"/>
      </w:tblPr>
      <w:tblGrid>
        <w:gridCol w:w="10224"/>
      </w:tblGrid>
      <w:tr>
        <w:tc>
          <w:tcPr>
            <w:tcW w:type="dxa" w:w="10224"/>
            <w:shd w:fill="D9EAD3"/>
          </w:tcPr>
          <w:p>
            <w:r/>
            <w:r>
              <w:rPr>
                <w:b/>
                <w:color w:val="1F4E79"/>
              </w:rPr>
              <w:t xml:space="preserve">Success criterion: </w:t>
            </w:r>
            <w:r>
              <w:t>Treat post_apply_validation.status = PASSED and passed = true as the primary confirmation that apply mode completed successfully.</w:t>
            </w:r>
          </w:p>
        </w:tc>
      </w:tr>
    </w:tbl>
    <w:p/>
    <w:p>
      <w:pPr>
        <w:pStyle w:val="Heading1"/>
      </w:pPr>
      <w:r>
        <w:t>12. Report Interpretation</w:t>
      </w:r>
    </w:p>
    <w:tbl>
      <w:tblPr>
        <w:tblStyle w:val="TableGrid"/>
        <w:tblW w:type="auto" w:w="0"/>
        <w:jc w:val="center"/>
        <w:tblLook w:firstColumn="1" w:firstRow="1" w:lastColumn="0" w:lastRow="0" w:noHBand="0" w:noVBand="1" w:val="04A0"/>
      </w:tblPr>
      <w:tblGrid>
        <w:gridCol w:w="5112"/>
        <w:gridCol w:w="5112"/>
      </w:tblGrid>
      <w:tr>
        <w:tc>
          <w:tcPr>
            <w:tcW w:type="dxa" w:w="3168"/>
            <w:shd w:fill="1F4E79"/>
            <w:vAlign w:val="center"/>
          </w:tcPr>
          <w:p>
            <w:pPr>
              <w:spacing w:after="40" w:before="0"/>
            </w:pPr>
            <w:r/>
            <w:r>
              <w:rPr>
                <w:b/>
                <w:color w:val="FFFFFF"/>
              </w:rPr>
              <w:t>Field</w:t>
            </w:r>
          </w:p>
        </w:tc>
        <w:tc>
          <w:tcPr>
            <w:tcW w:type="dxa" w:w="6336"/>
            <w:shd w:fill="1F4E79"/>
            <w:vAlign w:val="center"/>
          </w:tcPr>
          <w:p>
            <w:pPr>
              <w:spacing w:after="40" w:before="0"/>
            </w:pPr>
            <w:r/>
            <w:r>
              <w:rPr>
                <w:b/>
                <w:color w:val="FFFFFF"/>
              </w:rPr>
              <w:t>Meaning</w:t>
            </w:r>
          </w:p>
        </w:tc>
      </w:tr>
      <w:tr>
        <w:tc>
          <w:tcPr>
            <w:tcW w:type="dxa" w:w="3168"/>
            <w:vAlign w:val="top"/>
          </w:tcPr>
          <w:p>
            <w:pPr>
              <w:spacing w:after="40" w:before="0"/>
            </w:pPr>
            <w:r/>
            <w:r>
              <w:rPr>
                <w:b w:val="0"/>
              </w:rPr>
              <w:t>source_total</w:t>
            </w:r>
          </w:p>
        </w:tc>
        <w:tc>
          <w:tcPr>
            <w:tcW w:type="dxa" w:w="6336"/>
            <w:vAlign w:val="top"/>
          </w:tcPr>
          <w:p>
            <w:pPr>
              <w:spacing w:after="40" w:before="0"/>
            </w:pPr>
            <w:r/>
            <w:r>
              <w:rPr>
                <w:b w:val="0"/>
              </w:rPr>
              <w:t>Number of source SGs found.</w:t>
            </w:r>
          </w:p>
        </w:tc>
      </w:tr>
      <w:tr>
        <w:tc>
          <w:tcPr>
            <w:tcW w:type="dxa" w:w="3168"/>
            <w:vAlign w:val="top"/>
          </w:tcPr>
          <w:p>
            <w:pPr>
              <w:spacing w:after="40" w:before="0"/>
            </w:pPr>
            <w:r/>
            <w:r>
              <w:rPr>
                <w:b w:val="0"/>
              </w:rPr>
              <w:t>excluded.directory_service</w:t>
            </w:r>
          </w:p>
        </w:tc>
        <w:tc>
          <w:tcPr>
            <w:tcW w:type="dxa" w:w="6336"/>
            <w:vAlign w:val="top"/>
          </w:tcPr>
          <w:p>
            <w:pPr>
              <w:spacing w:after="40" w:before="0"/>
            </w:pPr>
            <w:r/>
            <w:r>
              <w:rPr>
                <w:b w:val="0"/>
              </w:rPr>
              <w:t>Directory Service SGs excluded.</w:t>
            </w:r>
          </w:p>
        </w:tc>
      </w:tr>
      <w:tr>
        <w:tc>
          <w:tcPr>
            <w:tcW w:type="dxa" w:w="3168"/>
            <w:vAlign w:val="top"/>
          </w:tcPr>
          <w:p>
            <w:pPr>
              <w:spacing w:after="40" w:before="0"/>
            </w:pPr>
            <w:r/>
            <w:r>
              <w:rPr>
                <w:b w:val="0"/>
              </w:rPr>
              <w:t>excluded.default_sg</w:t>
            </w:r>
          </w:p>
        </w:tc>
        <w:tc>
          <w:tcPr>
            <w:tcW w:type="dxa" w:w="6336"/>
            <w:vAlign w:val="top"/>
          </w:tcPr>
          <w:p>
            <w:pPr>
              <w:spacing w:after="40" w:before="0"/>
            </w:pPr>
            <w:r/>
            <w:r>
              <w:rPr>
                <w:b w:val="0"/>
              </w:rPr>
              <w:t>Default SGs excluded.</w:t>
            </w:r>
          </w:p>
        </w:tc>
      </w:tr>
      <w:tr>
        <w:tc>
          <w:tcPr>
            <w:tcW w:type="dxa" w:w="3168"/>
            <w:vAlign w:val="top"/>
          </w:tcPr>
          <w:p>
            <w:pPr>
              <w:spacing w:after="40" w:before="0"/>
            </w:pPr>
            <w:r/>
            <w:r>
              <w:rPr>
                <w:b w:val="0"/>
              </w:rPr>
              <w:t>evaluated</w:t>
            </w:r>
          </w:p>
        </w:tc>
        <w:tc>
          <w:tcPr>
            <w:tcW w:type="dxa" w:w="6336"/>
            <w:vAlign w:val="top"/>
          </w:tcPr>
          <w:p>
            <w:pPr>
              <w:spacing w:after="40" w:before="0"/>
            </w:pPr>
            <w:r/>
            <w:r>
              <w:rPr>
                <w:b w:val="0"/>
              </w:rPr>
              <w:t>Number of SGs evaluated after exclusions.</w:t>
            </w:r>
          </w:p>
        </w:tc>
      </w:tr>
      <w:tr>
        <w:tc>
          <w:tcPr>
            <w:tcW w:type="dxa" w:w="3168"/>
            <w:vAlign w:val="top"/>
          </w:tcPr>
          <w:p>
            <w:pPr>
              <w:spacing w:after="40" w:before="0"/>
            </w:pPr>
            <w:r/>
            <w:r>
              <w:rPr>
                <w:b w:val="0"/>
              </w:rPr>
              <w:t>strict_matches</w:t>
            </w:r>
          </w:p>
        </w:tc>
        <w:tc>
          <w:tcPr>
            <w:tcW w:type="dxa" w:w="6336"/>
            <w:vAlign w:val="top"/>
          </w:tcPr>
          <w:p>
            <w:pPr>
              <w:spacing w:after="40" w:before="0"/>
            </w:pPr>
            <w:r/>
            <w:r>
              <w:rPr>
                <w:b w:val="0"/>
              </w:rPr>
              <w:t>SGs matched by strict/canonical logic.</w:t>
            </w:r>
          </w:p>
        </w:tc>
      </w:tr>
      <w:tr>
        <w:tc>
          <w:tcPr>
            <w:tcW w:type="dxa" w:w="3168"/>
            <w:vAlign w:val="top"/>
          </w:tcPr>
          <w:p>
            <w:pPr>
              <w:spacing w:after="40" w:before="0"/>
            </w:pPr>
            <w:r/>
            <w:r>
              <w:rPr>
                <w:b w:val="0"/>
              </w:rPr>
              <w:t>legacy_matches</w:t>
            </w:r>
          </w:p>
        </w:tc>
        <w:tc>
          <w:tcPr>
            <w:tcW w:type="dxa" w:w="6336"/>
            <w:vAlign w:val="top"/>
          </w:tcPr>
          <w:p>
            <w:pPr>
              <w:spacing w:after="40" w:before="0"/>
            </w:pPr>
            <w:r/>
            <w:r>
              <w:rPr>
                <w:b w:val="0"/>
              </w:rPr>
              <w:t>SGs matched by normalized-name fallback.</w:t>
            </w:r>
          </w:p>
        </w:tc>
      </w:tr>
      <w:tr>
        <w:tc>
          <w:tcPr>
            <w:tcW w:type="dxa" w:w="3168"/>
            <w:vAlign w:val="top"/>
          </w:tcPr>
          <w:p>
            <w:pPr>
              <w:spacing w:after="40" w:before="0"/>
            </w:pPr>
            <w:r/>
            <w:r>
              <w:rPr>
                <w:b w:val="0"/>
              </w:rPr>
              <w:t>missing</w:t>
            </w:r>
          </w:p>
        </w:tc>
        <w:tc>
          <w:tcPr>
            <w:tcW w:type="dxa" w:w="6336"/>
            <w:vAlign w:val="top"/>
          </w:tcPr>
          <w:p>
            <w:pPr>
              <w:spacing w:after="40" w:before="0"/>
            </w:pPr>
            <w:r/>
            <w:r>
              <w:rPr>
                <w:b w:val="0"/>
              </w:rPr>
              <w:t>Source SGs not found in target.</w:t>
            </w:r>
          </w:p>
        </w:tc>
      </w:tr>
      <w:tr>
        <w:tc>
          <w:tcPr>
            <w:tcW w:type="dxa" w:w="3168"/>
            <w:vAlign w:val="top"/>
          </w:tcPr>
          <w:p>
            <w:pPr>
              <w:spacing w:after="40" w:before="0"/>
            </w:pPr>
            <w:r/>
            <w:r>
              <w:rPr>
                <w:b w:val="0"/>
              </w:rPr>
              <w:t>drifted</w:t>
            </w:r>
          </w:p>
        </w:tc>
        <w:tc>
          <w:tcPr>
            <w:tcW w:type="dxa" w:w="6336"/>
            <w:vAlign w:val="top"/>
          </w:tcPr>
          <w:p>
            <w:pPr>
              <w:spacing w:after="40" w:before="0"/>
            </w:pPr>
            <w:r/>
            <w:r>
              <w:rPr>
                <w:b w:val="0"/>
              </w:rPr>
              <w:t>SGs with missing required rules or metadata drift.</w:t>
            </w:r>
          </w:p>
        </w:tc>
      </w:tr>
      <w:tr>
        <w:tc>
          <w:tcPr>
            <w:tcW w:type="dxa" w:w="3168"/>
            <w:vAlign w:val="top"/>
          </w:tcPr>
          <w:p>
            <w:pPr>
              <w:spacing w:after="40" w:before="0"/>
            </w:pPr>
            <w:r/>
            <w:r>
              <w:rPr>
                <w:b w:val="0"/>
              </w:rPr>
              <w:t>unresolved_dependencies</w:t>
            </w:r>
          </w:p>
        </w:tc>
        <w:tc>
          <w:tcPr>
            <w:tcW w:type="dxa" w:w="6336"/>
            <w:vAlign w:val="top"/>
          </w:tcPr>
          <w:p>
            <w:pPr>
              <w:spacing w:after="40" w:before="0"/>
            </w:pPr>
            <w:r/>
            <w:r>
              <w:rPr>
                <w:b w:val="0"/>
              </w:rPr>
              <w:t>SG references that could not be mapped.</w:t>
            </w:r>
          </w:p>
        </w:tc>
      </w:tr>
      <w:tr>
        <w:tc>
          <w:tcPr>
            <w:tcW w:type="dxa" w:w="3168"/>
            <w:vAlign w:val="top"/>
          </w:tcPr>
          <w:p>
            <w:pPr>
              <w:spacing w:after="40" w:before="0"/>
            </w:pPr>
            <w:r/>
            <w:r>
              <w:rPr>
                <w:b w:val="0"/>
              </w:rPr>
              <w:t>in_sync</w:t>
            </w:r>
          </w:p>
        </w:tc>
        <w:tc>
          <w:tcPr>
            <w:tcW w:type="dxa" w:w="6336"/>
            <w:vAlign w:val="top"/>
          </w:tcPr>
          <w:p>
            <w:pPr>
              <w:spacing w:after="40" w:before="0"/>
            </w:pPr>
            <w:r/>
            <w:r>
              <w:rPr>
                <w:b w:val="0"/>
              </w:rPr>
              <w:t>SGs compliant with the current policy.</w:t>
            </w:r>
          </w:p>
        </w:tc>
      </w:tr>
    </w:tbl>
    <w:p/>
    <w:p>
      <w:pPr>
        <w:pStyle w:val="CodeBlock"/>
      </w:pPr>
      <w:r>
        <w:rPr>
          <w:rFonts w:ascii="Courier New" w:hAnsi="Courier New" w:eastAsia="Courier New"/>
          <w:sz w:val="18"/>
        </w:rPr>
        <w:t>{</w:t>
      </w:r>
      <w:r>
        <w:br/>
      </w:r>
      <w:r>
        <w:rPr>
          <w:rFonts w:ascii="Courier New" w:hAnsi="Courier New" w:eastAsia="Courier New"/>
          <w:sz w:val="18"/>
        </w:rPr>
        <w:t xml:space="preserve">  "source_total": 4,</w:t>
      </w:r>
      <w:r>
        <w:br/>
      </w:r>
      <w:r>
        <w:rPr>
          <w:rFonts w:ascii="Courier New" w:hAnsi="Courier New" w:eastAsia="Courier New"/>
          <w:sz w:val="18"/>
        </w:rPr>
        <w:t xml:space="preserve">  "excluded": {</w:t>
      </w:r>
      <w:r>
        <w:br/>
      </w:r>
      <w:r>
        <w:rPr>
          <w:rFonts w:ascii="Courier New" w:hAnsi="Courier New" w:eastAsia="Courier New"/>
          <w:sz w:val="18"/>
        </w:rPr>
        <w:t xml:space="preserve">    "directory_service": 0,</w:t>
      </w:r>
      <w:r>
        <w:br/>
      </w:r>
      <w:r>
        <w:rPr>
          <w:rFonts w:ascii="Courier New" w:hAnsi="Courier New" w:eastAsia="Courier New"/>
          <w:sz w:val="18"/>
        </w:rPr>
        <w:t xml:space="preserve">    "default_sg": 0</w:t>
      </w:r>
      <w:r>
        <w:br/>
      </w:r>
      <w:r>
        <w:rPr>
          <w:rFonts w:ascii="Courier New" w:hAnsi="Courier New" w:eastAsia="Courier New"/>
          <w:sz w:val="18"/>
        </w:rPr>
        <w:t xml:space="preserve">  },</w:t>
      </w:r>
      <w:r>
        <w:br/>
      </w:r>
      <w:r>
        <w:rPr>
          <w:rFonts w:ascii="Courier New" w:hAnsi="Courier New" w:eastAsia="Courier New"/>
          <w:sz w:val="18"/>
        </w:rPr>
        <w:t xml:space="preserve">  "evaluated": 4,</w:t>
      </w:r>
      <w:r>
        <w:br/>
      </w:r>
      <w:r>
        <w:rPr>
          <w:rFonts w:ascii="Courier New" w:hAnsi="Courier New" w:eastAsia="Courier New"/>
          <w:sz w:val="18"/>
        </w:rPr>
        <w:t xml:space="preserve">  "strict_matches": 4,</w:t>
      </w:r>
      <w:r>
        <w:br/>
      </w:r>
      <w:r>
        <w:rPr>
          <w:rFonts w:ascii="Courier New" w:hAnsi="Courier New" w:eastAsia="Courier New"/>
          <w:sz w:val="18"/>
        </w:rPr>
        <w:t xml:space="preserve">  "legacy_matches": 0,</w:t>
      </w:r>
      <w:r>
        <w:br/>
      </w:r>
      <w:r>
        <w:rPr>
          <w:rFonts w:ascii="Courier New" w:hAnsi="Courier New" w:eastAsia="Courier New"/>
          <w:sz w:val="18"/>
        </w:rPr>
        <w:t xml:space="preserve">  "missing": 0,</w:t>
      </w:r>
      <w:r>
        <w:br/>
      </w:r>
      <w:r>
        <w:rPr>
          <w:rFonts w:ascii="Courier New" w:hAnsi="Courier New" w:eastAsia="Courier New"/>
          <w:sz w:val="18"/>
        </w:rPr>
        <w:t xml:space="preserve">  "drifted": 0,</w:t>
      </w:r>
      <w:r>
        <w:br/>
      </w:r>
      <w:r>
        <w:rPr>
          <w:rFonts w:ascii="Courier New" w:hAnsi="Courier New" w:eastAsia="Courier New"/>
          <w:sz w:val="18"/>
        </w:rPr>
        <w:t xml:space="preserve">  "unresolved_dependencies": 0,</w:t>
      </w:r>
      <w:r>
        <w:br/>
      </w:r>
      <w:r>
        <w:rPr>
          <w:rFonts w:ascii="Courier New" w:hAnsi="Courier New" w:eastAsia="Courier New"/>
          <w:sz w:val="18"/>
        </w:rPr>
        <w:t xml:space="preserve">  "in_sync": 4</w:t>
      </w:r>
      <w:r>
        <w:br/>
      </w:r>
      <w:r>
        <w:rPr>
          <w:rFonts w:ascii="Courier New" w:hAnsi="Courier New" w:eastAsia="Courier New"/>
          <w:sz w:val="18"/>
        </w:rPr>
        <w:t>}</w:t>
      </w:r>
      <w:r>
        <w:br/>
      </w:r>
    </w:p>
    <w:p>
      <w:pPr>
        <w:pStyle w:val="Heading1"/>
      </w:pPr>
      <w:r>
        <w:t>13. Standard Team Workflow</w:t>
      </w:r>
    </w:p>
    <w:p>
      <w:pPr>
        <w:pStyle w:val="ListNumber"/>
      </w:pPr>
      <w:r>
        <w:t>Review sg-config.json and confirm source and target profiles, regions, and VPC IDs.</w:t>
      </w:r>
    </w:p>
    <w:p>
      <w:pPr>
        <w:pStyle w:val="ListNumber"/>
      </w:pPr>
      <w:r>
        <w:t>Login to both AWS profiles using AWS SSO or the approved credential method.</w:t>
      </w:r>
    </w:p>
    <w:p>
      <w:pPr>
        <w:pStyle w:val="ListNumber"/>
      </w:pPr>
      <w:r>
        <w:t>Run report-only for an initial state summary if desired.</w:t>
      </w:r>
    </w:p>
    <w:p>
      <w:pPr>
        <w:pStyle w:val="ListNumber"/>
      </w:pPr>
      <w:r>
        <w:t>Run dry-run and review the generated JSON report.</w:t>
      </w:r>
    </w:p>
    <w:p>
      <w:pPr>
        <w:pStyle w:val="ListNumber"/>
      </w:pPr>
      <w:r>
        <w:t>Confirm there are no ambiguous matches and no unexpected unresolved dependencies.</w:t>
      </w:r>
    </w:p>
    <w:p>
      <w:pPr>
        <w:pStyle w:val="ListNumber"/>
      </w:pPr>
      <w:r>
        <w:t>Run --yes only after the dry-run report is accepted.</w:t>
      </w:r>
    </w:p>
    <w:p>
      <w:pPr>
        <w:pStyle w:val="ListNumber"/>
      </w:pPr>
      <w:r>
        <w:t>Review the post_apply_validation section in the apply report.</w:t>
      </w:r>
    </w:p>
    <w:p>
      <w:pPr>
        <w:pStyle w:val="ListNumber"/>
      </w:pPr>
      <w:r>
        <w:t>Confirm status = PASSED, passed = true, missing = 0, drifted = 0, unresolved_dependencies = 0, create = 0, and update = 0.</w:t>
      </w:r>
    </w:p>
    <w:p>
      <w:pPr>
        <w:pStyle w:val="ListNumber"/>
      </w:pPr>
      <w:r>
        <w:t>Optionally rerun dry-run for manual confirmation or audit comfort.</w:t>
      </w:r>
    </w:p>
    <w:p>
      <w:pPr>
        <w:pStyle w:val="CodeBlock"/>
      </w:pPr>
      <w:r>
        <w:rPr>
          <w:rFonts w:ascii="Courier New" w:hAnsi="Courier New" w:eastAsia="Courier New"/>
          <w:sz w:val="18"/>
        </w:rPr>
        <w:t>python -m py_compile sg_reconcile_engine.py</w:t>
      </w:r>
      <w:r>
        <w:br/>
      </w:r>
      <w:r>
        <w:rPr>
          <w:rFonts w:ascii="Courier New" w:hAnsi="Courier New" w:eastAsia="Courier New"/>
          <w:sz w:val="18"/>
        </w:rPr>
        <w:t>aws sso login --profile prod</w:t>
      </w:r>
      <w:r>
        <w:br/>
      </w:r>
      <w:r>
        <w:rPr>
          <w:rFonts w:ascii="Courier New" w:hAnsi="Courier New" w:eastAsia="Courier New"/>
          <w:sz w:val="18"/>
        </w:rPr>
        <w:t>aws sso login --profile dr</w:t>
      </w:r>
      <w:r>
        <w:br/>
      </w:r>
      <w:r>
        <w:rPr>
          <w:rFonts w:ascii="Courier New" w:hAnsi="Courier New" w:eastAsia="Courier New"/>
          <w:sz w:val="18"/>
        </w:rPr>
        <w:t>python sg_reconcile_engine.py --info-file sg-config.json --report-only</w:t>
      </w:r>
      <w:r>
        <w:br/>
      </w:r>
      <w:r>
        <w:rPr>
          <w:rFonts w:ascii="Courier New" w:hAnsi="Courier New" w:eastAsia="Courier New"/>
          <w:sz w:val="18"/>
        </w:rPr>
        <w:t>python sg_reconcile_engine.py --info-file sg-config.json --dry-run</w:t>
      </w:r>
      <w:r>
        <w:br/>
      </w:r>
      <w:r>
        <w:rPr>
          <w:rFonts w:ascii="Courier New" w:hAnsi="Courier New" w:eastAsia="Courier New"/>
          <w:sz w:val="18"/>
        </w:rPr>
        <w:t>python sg_reconcile_engine.py --info-file sg-config.json --yes</w:t>
      </w:r>
      <w:r>
        <w:br/>
      </w:r>
      <w:r>
        <w:rPr>
          <w:rFonts w:ascii="Courier New" w:hAnsi="Courier New" w:eastAsia="Courier New"/>
          <w:sz w:val="18"/>
        </w:rPr>
        <w:t>python sg_reconcile_engine.py --info-file sg-config.json --dry-run</w:t>
      </w:r>
      <w:r>
        <w:br/>
      </w:r>
    </w:p>
    <w:p>
      <w:pPr>
        <w:pStyle w:val="Heading1"/>
      </w:pPr>
      <w:r>
        <w:t>14. Troubleshooting</w:t>
      </w:r>
    </w:p>
    <w:tbl>
      <w:tblPr>
        <w:tblStyle w:val="TableGrid"/>
        <w:tblW w:type="auto" w:w="0"/>
        <w:jc w:val="center"/>
        <w:tblLook w:firstColumn="1" w:firstRow="1" w:lastColumn="0" w:lastRow="0" w:noHBand="0" w:noVBand="1" w:val="04A0"/>
      </w:tblPr>
      <w:tblGrid>
        <w:gridCol w:w="5112"/>
        <w:gridCol w:w="5112"/>
      </w:tblGrid>
      <w:tr>
        <w:tc>
          <w:tcPr>
            <w:tcW w:type="dxa" w:w="3312"/>
            <w:shd w:fill="1F4E79"/>
            <w:vAlign w:val="center"/>
          </w:tcPr>
          <w:p>
            <w:pPr>
              <w:spacing w:after="40" w:before="0"/>
            </w:pPr>
            <w:r/>
            <w:r>
              <w:rPr>
                <w:b/>
                <w:color w:val="FFFFFF"/>
              </w:rPr>
              <w:t>Symptom</w:t>
            </w:r>
          </w:p>
        </w:tc>
        <w:tc>
          <w:tcPr>
            <w:tcW w:type="dxa" w:w="6192"/>
            <w:shd w:fill="1F4E79"/>
            <w:vAlign w:val="center"/>
          </w:tcPr>
          <w:p>
            <w:pPr>
              <w:spacing w:after="40" w:before="0"/>
            </w:pPr>
            <w:r/>
            <w:r>
              <w:rPr>
                <w:b/>
                <w:color w:val="FFFFFF"/>
              </w:rPr>
              <w:t>Recommended Action</w:t>
            </w:r>
          </w:p>
        </w:tc>
      </w:tr>
      <w:tr>
        <w:tc>
          <w:tcPr>
            <w:tcW w:type="dxa" w:w="3312"/>
            <w:vAlign w:val="top"/>
          </w:tcPr>
          <w:p>
            <w:pPr>
              <w:spacing w:after="40" w:before="0"/>
            </w:pPr>
            <w:r/>
            <w:r>
              <w:rPr>
                <w:b w:val="0"/>
              </w:rPr>
              <w:t>Missing SG created but rules missing</w:t>
            </w:r>
          </w:p>
        </w:tc>
        <w:tc>
          <w:tcPr>
            <w:tcW w:type="dxa" w:w="6192"/>
            <w:vAlign w:val="top"/>
          </w:tcPr>
          <w:p>
            <w:pPr>
              <w:spacing w:after="40" w:before="0"/>
            </w:pPr>
            <w:r/>
            <w:r>
              <w:rPr>
                <w:b w:val="0"/>
              </w:rPr>
              <w:t>Check unresolved dependencies, target EC2 permissions, and post_apply_validation.sg_plan.drifts.</w:t>
            </w:r>
          </w:p>
        </w:tc>
      </w:tr>
      <w:tr>
        <w:tc>
          <w:tcPr>
            <w:tcW w:type="dxa" w:w="3312"/>
            <w:vAlign w:val="top"/>
          </w:tcPr>
          <w:p>
            <w:pPr>
              <w:spacing w:after="40" w:before="0"/>
            </w:pPr>
            <w:r/>
            <w:r>
              <w:rPr>
                <w:b w:val="0"/>
              </w:rPr>
              <w:t>UnauthorizedOperation</w:t>
            </w:r>
          </w:p>
        </w:tc>
        <w:tc>
          <w:tcPr>
            <w:tcW w:type="dxa" w:w="6192"/>
            <w:vAlign w:val="top"/>
          </w:tcPr>
          <w:p>
            <w:pPr>
              <w:spacing w:after="40" w:before="0"/>
            </w:pPr>
            <w:r/>
            <w:r>
              <w:rPr>
                <w:b w:val="0"/>
              </w:rPr>
              <w:t>Target profile likely lacks required EC2 write permissions. Confirm identity and IAM policy.</w:t>
            </w:r>
          </w:p>
        </w:tc>
      </w:tr>
      <w:tr>
        <w:tc>
          <w:tcPr>
            <w:tcW w:type="dxa" w:w="3312"/>
            <w:vAlign w:val="top"/>
          </w:tcPr>
          <w:p>
            <w:pPr>
              <w:spacing w:after="40" w:before="0"/>
            </w:pPr>
            <w:r/>
            <w:r>
              <w:rPr>
                <w:b w:val="0"/>
              </w:rPr>
              <w:t>InvalidVpcID.NotFound</w:t>
            </w:r>
          </w:p>
        </w:tc>
        <w:tc>
          <w:tcPr>
            <w:tcW w:type="dxa" w:w="6192"/>
            <w:vAlign w:val="top"/>
          </w:tcPr>
          <w:p>
            <w:pPr>
              <w:spacing w:after="40" w:before="0"/>
            </w:pPr>
            <w:r/>
            <w:r>
              <w:rPr>
                <w:b w:val="0"/>
              </w:rPr>
              <w:t>Target VPC ID may be wrong, in another region, or in another account.</w:t>
            </w:r>
          </w:p>
        </w:tc>
      </w:tr>
      <w:tr>
        <w:tc>
          <w:tcPr>
            <w:tcW w:type="dxa" w:w="3312"/>
            <w:vAlign w:val="top"/>
          </w:tcPr>
          <w:p>
            <w:pPr>
              <w:spacing w:after="40" w:before="0"/>
            </w:pPr>
            <w:r/>
            <w:r>
              <w:rPr>
                <w:b w:val="0"/>
              </w:rPr>
              <w:t>InvalidGroup.Duplicate</w:t>
            </w:r>
          </w:p>
        </w:tc>
        <w:tc>
          <w:tcPr>
            <w:tcW w:type="dxa" w:w="6192"/>
            <w:vAlign w:val="top"/>
          </w:tcPr>
          <w:p>
            <w:pPr>
              <w:spacing w:after="40" w:before="0"/>
            </w:pPr>
            <w:r/>
            <w:r>
              <w:rPr>
                <w:b w:val="0"/>
              </w:rPr>
              <w:t>SG with same name exists. Tool attempts to reuse the existing SG.</w:t>
            </w:r>
          </w:p>
        </w:tc>
      </w:tr>
      <w:tr>
        <w:tc>
          <w:tcPr>
            <w:tcW w:type="dxa" w:w="3312"/>
            <w:vAlign w:val="top"/>
          </w:tcPr>
          <w:p>
            <w:pPr>
              <w:spacing w:after="40" w:before="0"/>
            </w:pPr>
            <w:r/>
            <w:r>
              <w:rPr>
                <w:b w:val="0"/>
              </w:rPr>
              <w:t>Extra AWS default outbound rule</w:t>
            </w:r>
          </w:p>
        </w:tc>
        <w:tc>
          <w:tcPr>
            <w:tcW w:type="dxa" w:w="6192"/>
            <w:vAlign w:val="top"/>
          </w:tcPr>
          <w:p>
            <w:pPr>
              <w:spacing w:after="40" w:before="0"/>
            </w:pPr>
            <w:r/>
            <w:r>
              <w:rPr>
                <w:b w:val="0"/>
              </w:rPr>
              <w:t>Expected and tolerated by default under source-required-only mode.</w:t>
            </w:r>
          </w:p>
        </w:tc>
      </w:tr>
      <w:tr>
        <w:tc>
          <w:tcPr>
            <w:tcW w:type="dxa" w:w="3312"/>
            <w:vAlign w:val="top"/>
          </w:tcPr>
          <w:p>
            <w:pPr>
              <w:spacing w:after="40" w:before="0"/>
            </w:pPr>
            <w:r/>
            <w:r>
              <w:rPr>
                <w:b w:val="0"/>
              </w:rPr>
              <w:t>SG looks correct in AWS Console but shows drift</w:t>
            </w:r>
          </w:p>
        </w:tc>
        <w:tc>
          <w:tcPr>
            <w:tcW w:type="dxa" w:w="6192"/>
            <w:vAlign w:val="top"/>
          </w:tcPr>
          <w:p>
            <w:pPr>
              <w:spacing w:after="40" w:before="0"/>
            </w:pPr>
            <w:r/>
            <w:r>
              <w:rPr>
                <w:b w:val="0"/>
              </w:rPr>
              <w:t>Check missing_ingress, missing_egress, unresolved_dependencies, and sg_id_map. Atomic comparison should reduce false drift, but wrong referenced SG IDs can still cause valid drift.</w:t>
            </w:r>
          </w:p>
        </w:tc>
      </w:tr>
      <w:tr>
        <w:tc>
          <w:tcPr>
            <w:tcW w:type="dxa" w:w="3312"/>
            <w:vAlign w:val="top"/>
          </w:tcPr>
          <w:p>
            <w:pPr>
              <w:spacing w:after="40" w:before="0"/>
            </w:pPr>
            <w:r/>
            <w:r>
              <w:rPr>
                <w:b w:val="0"/>
              </w:rPr>
              <w:t>Post-apply validation FAILED</w:t>
            </w:r>
          </w:p>
        </w:tc>
        <w:tc>
          <w:tcPr>
            <w:tcW w:type="dxa" w:w="6192"/>
            <w:vAlign w:val="top"/>
          </w:tcPr>
          <w:p>
            <w:pPr>
              <w:spacing w:after="40" w:before="0"/>
            </w:pPr>
            <w:r/>
            <w:r>
              <w:rPr>
                <w:b w:val="0"/>
              </w:rPr>
              <w:t>Review post_apply_validation.summary, drifts, unresolved dependencies, and failed_nodes. Do not rerun blindly.</w:t>
            </w:r>
          </w:p>
        </w:tc>
      </w:tr>
    </w:tbl>
    <w:p/>
    <w:p>
      <w:pPr>
        <w:pStyle w:val="Heading1"/>
      </w:pPr>
      <w:r>
        <w:t>15. Rollback and Recovery</w:t>
      </w:r>
    </w:p>
    <w:p>
      <w:r>
        <w:t>Rollback journals are written under rollback/. Rollback actions may include newly created SGs and rules added during apply mode.</w:t>
      </w:r>
    </w:p>
    <w:tbl>
      <w:tblPr>
        <w:tblStyle w:val="TableGrid"/>
        <w:tblW w:type="auto" w:w="0"/>
        <w:tblLook w:firstColumn="1" w:firstRow="1" w:lastColumn="0" w:lastRow="0" w:noHBand="0" w:noVBand="1" w:val="04A0"/>
      </w:tblPr>
      <w:tblGrid>
        <w:gridCol w:w="10224"/>
      </w:tblGrid>
      <w:tr>
        <w:tc>
          <w:tcPr>
            <w:tcW w:type="dxa" w:w="10224"/>
            <w:shd w:fill="FFF2CC"/>
          </w:tcPr>
          <w:p>
            <w:r/>
            <w:r>
              <w:rPr>
                <w:b/>
                <w:color w:val="1F4E79"/>
              </w:rPr>
              <w:t xml:space="preserve">Important: </w:t>
            </w:r>
            <w:r>
              <w:t>Rollback support is currently a recovery aid, not a full automatic rollback engine. Preserve the report and rollback journal if apply mode partially fails.</w:t>
            </w:r>
          </w:p>
        </w:tc>
      </w:tr>
    </w:tbl>
    <w:p/>
    <w:p>
      <w:pPr>
        <w:pStyle w:val="ListBullet"/>
      </w:pPr>
      <w:r>
        <w:t>Stop and preserve terminal output.</w:t>
      </w:r>
    </w:p>
    <w:p>
      <w:pPr>
        <w:pStyle w:val="ListBullet"/>
      </w:pPr>
      <w:r>
        <w:t>Preserve the latest report in sg_reports/.</w:t>
      </w:r>
    </w:p>
    <w:p>
      <w:pPr>
        <w:pStyle w:val="ListBullet"/>
      </w:pPr>
      <w:r>
        <w:t>Preserve the latest rollback journal in rollback/.</w:t>
      </w:r>
    </w:p>
    <w:p>
      <w:pPr>
        <w:pStyle w:val="ListBullet"/>
      </w:pPr>
      <w:r>
        <w:t>Review execution.failed_nodes.</w:t>
      </w:r>
    </w:p>
    <w:p>
      <w:pPr>
        <w:pStyle w:val="ListBullet"/>
      </w:pPr>
      <w:r>
        <w:t>Review post_apply_validation.</w:t>
      </w:r>
    </w:p>
    <w:p>
      <w:pPr>
        <w:pStyle w:val="ListBullet"/>
      </w:pPr>
      <w:r>
        <w:t>Inspect only the affected SGs in AWS.</w:t>
      </w:r>
    </w:p>
    <w:p>
      <w:pPr>
        <w:pStyle w:val="ListBullet"/>
      </w:pPr>
      <w:r>
        <w:t>Do not rerun --yes until the failure reason is understood.</w:t>
      </w:r>
    </w:p>
    <w:p>
      <w:pPr>
        <w:pStyle w:val="Heading1"/>
      </w:pPr>
      <w:r>
        <w:t>16. Current Limitations</w:t>
      </w:r>
    </w:p>
    <w:p>
      <w:pPr>
        <w:pStyle w:val="ListBullet"/>
      </w:pPr>
      <w:r>
        <w:t>Does not delete target SGs.</w:t>
      </w:r>
    </w:p>
    <w:p>
      <w:pPr>
        <w:pStyle w:val="ListBullet"/>
      </w:pPr>
      <w:r>
        <w:t>Does not actively remove extra target ingress or egress rules.</w:t>
      </w:r>
    </w:p>
    <w:p>
      <w:pPr>
        <w:pStyle w:val="ListBullet"/>
      </w:pPr>
      <w:r>
        <w:t>Does not perform full automatic rollback.</w:t>
      </w:r>
    </w:p>
    <w:p>
      <w:pPr>
        <w:pStyle w:val="ListBullet"/>
      </w:pPr>
      <w:r>
        <w:t>Does not implement CIDR translation between source and DR subnet ranges.</w:t>
      </w:r>
    </w:p>
    <w:p>
      <w:pPr>
        <w:pStyle w:val="ListBullet"/>
      </w:pPr>
      <w:r>
        <w:t>Complex cross-account, cross-VPC, shared-VPC, or peered-VPC SG references may require manual review.</w:t>
      </w:r>
    </w:p>
    <w:p>
      <w:pPr>
        <w:pStyle w:val="ListBullet"/>
      </w:pPr>
      <w:r>
        <w:t>Description differences are reported, but security group object descriptions cannot be safely updated in place.</w:t>
      </w:r>
    </w:p>
    <w:p>
      <w:pPr>
        <w:pStyle w:val="Heading1"/>
      </w:pPr>
      <w:r>
        <w:t>17. Repository Safety</w:t>
      </w:r>
    </w:p>
    <w:p>
      <w:r>
        <w:t>Do not commit real environment data into a public repository. Keep generated reports, rollback journals, real config files, AWS credentials, virtual environments, and internal exports out of Git.</w:t>
      </w:r>
    </w:p>
    <w:p>
      <w:pPr>
        <w:pStyle w:val="CodeBlock"/>
      </w:pPr>
      <w:r>
        <w:rPr>
          <w:rFonts w:ascii="Courier New" w:hAnsi="Courier New" w:eastAsia="Courier New"/>
          <w:sz w:val="18"/>
        </w:rPr>
        <w:t># Recommended .gitignore entries</w:t>
      </w:r>
      <w:r>
        <w:br/>
      </w:r>
      <w:r>
        <w:rPr>
          <w:rFonts w:ascii="Courier New" w:hAnsi="Courier New" w:eastAsia="Courier New"/>
          <w:sz w:val="18"/>
        </w:rPr>
        <w:t>__pycache__/</w:t>
      </w:r>
      <w:r>
        <w:br/>
      </w:r>
      <w:r>
        <w:rPr>
          <w:rFonts w:ascii="Courier New" w:hAnsi="Courier New" w:eastAsia="Courier New"/>
          <w:sz w:val="18"/>
        </w:rPr>
        <w:t>*.pyc</w:t>
      </w:r>
      <w:r>
        <w:br/>
      </w:r>
      <w:r>
        <w:rPr>
          <w:rFonts w:ascii="Courier New" w:hAnsi="Courier New" w:eastAsia="Courier New"/>
          <w:sz w:val="18"/>
        </w:rPr>
        <w:t>venv/</w:t>
      </w:r>
      <w:r>
        <w:br/>
      </w:r>
      <w:r>
        <w:rPr>
          <w:rFonts w:ascii="Courier New" w:hAnsi="Courier New" w:eastAsia="Courier New"/>
          <w:sz w:val="18"/>
        </w:rPr>
        <w:t>sg_reports/</w:t>
      </w:r>
      <w:r>
        <w:br/>
      </w:r>
      <w:r>
        <w:rPr>
          <w:rFonts w:ascii="Courier New" w:hAnsi="Courier New" w:eastAsia="Courier New"/>
          <w:sz w:val="18"/>
        </w:rPr>
        <w:t>rollback/</w:t>
      </w:r>
      <w:r>
        <w:br/>
      </w:r>
      <w:r>
        <w:rPr>
          <w:rFonts w:ascii="Courier New" w:hAnsi="Courier New" w:eastAsia="Courier New"/>
          <w:sz w:val="18"/>
        </w:rPr>
        <w:t>sg-config.json</w:t>
      </w:r>
      <w:r>
        <w:br/>
      </w:r>
      <w:r>
        <w:rPr>
          <w:rFonts w:ascii="Courier New" w:hAnsi="Courier New" w:eastAsia="Courier New"/>
          <w:sz w:val="18"/>
        </w:rPr>
        <w:t>sg-confile.json</w:t>
      </w:r>
      <w:r>
        <w:br/>
      </w:r>
      <w:r>
        <w:rPr>
          <w:rFonts w:ascii="Courier New" w:hAnsi="Courier New" w:eastAsia="Courier New"/>
          <w:sz w:val="18"/>
        </w:rPr>
        <w:t>sg-info.json</w:t>
      </w:r>
      <w:r>
        <w:br/>
      </w:r>
      <w:r>
        <w:rPr>
          <w:rFonts w:ascii="Courier New" w:hAnsi="Courier New" w:eastAsia="Courier New"/>
          <w:sz w:val="18"/>
        </w:rPr>
        <w:t>.aws/</w:t>
      </w:r>
      <w:r>
        <w:br/>
      </w:r>
      <w:r>
        <w:rPr>
          <w:rFonts w:ascii="Courier New" w:hAnsi="Courier New" w:eastAsia="Courier New"/>
          <w:sz w:val="18"/>
        </w:rPr>
        <w:t>*.pem</w:t>
      </w:r>
      <w:r>
        <w:br/>
      </w:r>
      <w:r>
        <w:rPr>
          <w:rFonts w:ascii="Courier New" w:hAnsi="Courier New" w:eastAsia="Courier New"/>
          <w:sz w:val="18"/>
        </w:rPr>
        <w:t>*.key</w:t>
      </w:r>
      <w:r>
        <w:br/>
      </w:r>
      <w:r>
        <w:rPr>
          <w:rFonts w:ascii="Courier New" w:hAnsi="Courier New" w:eastAsia="Courier New"/>
          <w:sz w:val="18"/>
        </w:rPr>
        <w:t>*.crt</w:t>
      </w:r>
      <w:r>
        <w:br/>
      </w:r>
      <w:r>
        <w:rPr>
          <w:rFonts w:ascii="Courier New" w:hAnsi="Courier New" w:eastAsia="Courier New"/>
          <w:sz w:val="18"/>
        </w:rPr>
        <w:t>.env*</w:t>
      </w:r>
      <w:r>
        <w:br/>
      </w:r>
      <w:r>
        <w:rPr>
          <w:rFonts w:ascii="Courier New" w:hAnsi="Courier New" w:eastAsia="Courier New"/>
          <w:sz w:val="18"/>
        </w:rPr>
        <w:t>credentials</w:t>
      </w:r>
      <w:r>
        <w:br/>
      </w:r>
      <w:r>
        <w:rPr>
          <w:rFonts w:ascii="Courier New" w:hAnsi="Courier New" w:eastAsia="Courier New"/>
          <w:sz w:val="18"/>
        </w:rPr>
        <w:t>config</w:t>
      </w:r>
      <w:r>
        <w:br/>
      </w:r>
      <w:r>
        <w:rPr>
          <w:rFonts w:ascii="Courier New" w:hAnsi="Courier New" w:eastAsia="Courier New"/>
          <w:sz w:val="18"/>
        </w:rPr>
        <w:t>.DS_Store</w:t>
      </w:r>
      <w:r>
        <w:br/>
      </w:r>
      <w:r>
        <w:rPr>
          <w:rFonts w:ascii="Courier New" w:hAnsi="Courier New" w:eastAsia="Courier New"/>
          <w:sz w:val="18"/>
        </w:rPr>
        <w:t>.vscode/</w:t>
      </w:r>
      <w:r>
        <w:br/>
      </w:r>
      <w:r>
        <w:rPr>
          <w:rFonts w:ascii="Courier New" w:hAnsi="Courier New" w:eastAsia="Courier New"/>
          <w:sz w:val="18"/>
        </w:rPr>
        <w:t>.idea/</w:t>
      </w:r>
      <w:r>
        <w:br/>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AWS Security Group Live Sync Tool - Team Runbook v3.0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before="80"/>
      <w:ind w:left="288"/>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