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Target Group Parity Sync Runbook</w:t>
      </w:r>
    </w:p>
    <w:p>
      <w:pPr>
        <w:pStyle w:val="Heading1"/>
      </w:pPr>
      <w:r>
        <w:t>Purpose</w:t>
      </w:r>
    </w:p>
    <w:p>
      <w:r>
        <w:t>This runbook documents how to synchronize AWS Application Load Balancer target groups from the prod account/region to the DR account/region and validate parity.</w:t>
      </w:r>
    </w:p>
    <w:p>
      <w:pPr>
        <w:pStyle w:val="Heading1"/>
      </w:pPr>
      <w:r>
        <w:t>Scope</w:t>
      </w:r>
    </w:p>
    <w:p>
      <w:r>
        <w:t>Covers target group configuration parity including protocol, port, health checks, and attributes. Does not include target registration or ALB listeners/rules.</w:t>
      </w:r>
    </w:p>
    <w:p>
      <w:pPr>
        <w:pStyle w:val="Heading1"/>
      </w:pPr>
      <w:r>
        <w:t>Environment</w:t>
      </w:r>
    </w:p>
    <w:p>
      <w:r>
        <w:t>Source:</w:t>
        <w:br/>
        <w:t>- Profile: prod-profile</w:t>
        <w:br/>
        <w:t>- Region: us-east-1</w:t>
        <w:br/>
        <w:t>- VPC: vpc-07e9b545595333c38</w:t>
        <w:br/>
        <w:br/>
        <w:t>Target:</w:t>
        <w:br/>
        <w:t>- Profile: dr-profile</w:t>
        <w:br/>
        <w:t>- Region: us-east-2</w:t>
        <w:br/>
        <w:t>- VPC: vpc-081d7ae01e6d85d22</w:t>
      </w:r>
    </w:p>
    <w:p>
      <w:pPr>
        <w:pStyle w:val="Heading1"/>
      </w:pPr>
      <w:r>
        <w:t>Script</w:t>
      </w:r>
    </w:p>
    <w:p>
      <w:r>
        <w:t>sync_target_groups.py</w:t>
      </w:r>
    </w:p>
    <w:p>
      <w:pPr>
        <w:pStyle w:val="Heading1"/>
      </w:pPr>
      <w:r>
        <w:t>Prerequisites</w:t>
      </w:r>
    </w:p>
    <w:p>
      <w:r>
        <w:t>- Python virtual environment</w:t>
        <w:br/>
        <w:t>- boto3 installed</w:t>
        <w:br/>
        <w:t>- AWS CLI profiles configured (prod-profile, dr-profile)</w:t>
      </w:r>
    </w:p>
    <w:p>
      <w:pPr>
        <w:pStyle w:val="Heading1"/>
      </w:pPr>
      <w:r>
        <w:t>Execution (Recommended - Live Mode)</w:t>
      </w:r>
    </w:p>
    <w:p>
      <w:r>
        <w:t>Dry Run:</w:t>
        <w:br/>
        <w:t>&amp; ./.venv/bin/python3 ./sync_target_groups.py --source-profile prod-profile --source-region us-east-1 --source-vpc-id vpc-07e9b545595333c38 --target-profile dr-profile --target-region us-east-2 --target-vpc-id vpc-081d7ae01e6d85d22 --dry-run</w:t>
        <w:br/>
        <w:br/>
        <w:t>Real Run:</w:t>
        <w:br/>
        <w:t>&amp; ./.venv/bin/python3 ./sync_target_groups.py --source-profile prod-profile --source-region us-east-1 --source-vpc-id vpc-07e9b545595333c38 --target-profile dr-profile --target-region us-east-2 --target-vpc-id vpc-081d7ae01e6d85d22</w:t>
      </w:r>
    </w:p>
    <w:p>
      <w:pPr>
        <w:pStyle w:val="Heading1"/>
      </w:pPr>
      <w:r>
        <w:t>Expected Output</w:t>
      </w:r>
    </w:p>
    <w:p>
      <w:r>
        <w:t>In sync: 1</w:t>
        <w:br/>
        <w:t>Needs review: 0</w:t>
        <w:br/>
        <w:t>All audited target groups are in sync.</w:t>
      </w:r>
    </w:p>
    <w:p>
      <w:pPr>
        <w:pStyle w:val="Heading1"/>
      </w:pPr>
      <w:r>
        <w:t>Audit Artifact</w:t>
      </w:r>
    </w:p>
    <w:p>
      <w:r>
        <w:t>tg_sync_report.json</w:t>
      </w:r>
    </w:p>
    <w:p>
      <w:pPr>
        <w:pStyle w:val="Heading1"/>
      </w:pPr>
      <w:r>
        <w:t>Status</w:t>
      </w:r>
    </w:p>
    <w:p>
      <w:r>
        <w:t>Target Group parity sync: COMPLETE</w:t>
        <w:br/>
        <w:t>Next phase: ALB listeners and rules 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