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E8913A" w:sz="12" w:space="8"/>
        </w:pBdr>
        <w:spacing w:after="120"/>
        <w:jc w:val="center"/>
      </w:pPr>
      <w:r>
        <w:rPr>
          <w:rFonts w:ascii="Arial" w:cs="Arial" w:eastAsia="Arial" w:hAnsi="Arial"/>
          <w:b/>
          <w:bCs/>
          <w:color w:val="1B3A5C"/>
          <w:sz w:val="56"/>
          <w:szCs w:val="56"/>
        </w:rPr>
        <w:t xml:space="preserve">LEADERPRISM</w:t>
      </w:r>
    </w:p>
    <w:p>
      <w:pPr>
        <w:spacing w:after="80"/>
        <w:jc w:val="center"/>
      </w:pPr>
      <w:r>
        <w:rPr>
          <w:rFonts w:ascii="Arial" w:cs="Arial" w:eastAsia="Arial" w:hAnsi="Arial"/>
          <w:color w:val="2E75B6"/>
          <w:sz w:val="34"/>
          <w:szCs w:val="34"/>
        </w:rPr>
        <w:t xml:space="preserve">360° Leadership Assessment Platform</w:t>
      </w:r>
    </w:p>
    <w:p>
      <w:pPr>
        <w:spacing w:after="400"/>
      </w:pPr>
    </w:p>
    <w:p>
      <w:pPr>
        <w:spacing w:after="60"/>
        <w:jc w:val="center"/>
      </w:pPr>
      <w:r>
        <w:rPr>
          <w:rFonts w:ascii="Arial" w:cs="Arial" w:eastAsia="Arial" w:hAnsi="Arial"/>
          <w:b/>
          <w:bCs/>
          <w:color w:val="1B3A5C"/>
          <w:sz w:val="32"/>
          <w:szCs w:val="32"/>
        </w:rPr>
        <w:t xml:space="preserve">MVP Prototype Design Document</w:t>
      </w:r>
    </w:p>
    <w:p>
      <w:pPr>
        <w:spacing w:after="60"/>
        <w:jc w:val="center"/>
      </w:pPr>
      <w:r>
        <w:rPr>
          <w:rFonts w:ascii="Arial" w:cs="Arial" w:eastAsia="Arial" w:hAnsi="Arial"/>
          <w:color w:val="555555"/>
          <w:sz w:val="22"/>
          <w:szCs w:val="22"/>
        </w:rPr>
        <w:t xml:space="preserve">Four Use Cases That Organisations Actually Buy</w:t>
      </w:r>
    </w:p>
    <w:p>
      <w:pPr>
        <w:spacing w:after="200"/>
      </w:pPr>
    </w:p>
    <w:p>
      <w:pPr>
        <w:spacing w:after="60"/>
        <w:jc w:val="center"/>
      </w:pPr>
      <w:r>
        <w:rPr>
          <w:rFonts w:ascii="Arial" w:cs="Arial" w:eastAsia="Arial" w:hAnsi="Arial"/>
          <w:b/>
          <w:bCs/>
          <w:color w:val="E8913A"/>
          <w:sz w:val="22"/>
          <w:szCs w:val="22"/>
        </w:rPr>
        <w:t xml:space="preserve">Build Timeline: 10–14 Weeks  |  Team: 3–4 Developers + 1 Content Specialist</w:t>
      </w:r>
    </w:p>
    <w:p>
      <w:pPr>
        <w:spacing w:after="400"/>
      </w:pPr>
    </w:p>
    <w:p>
      <w:pPr>
        <w:spacing w:after="60"/>
        <w:jc w:val="center"/>
      </w:pPr>
      <w:r>
        <w:rPr>
          <w:rFonts w:ascii="Arial" w:cs="Arial" w:eastAsia="Arial" w:hAnsi="Arial"/>
          <w:color w:val="333333"/>
          <w:sz w:val="22"/>
          <w:szCs w:val="22"/>
        </w:rPr>
        <w:t xml:space="preserve">Prepared by: TechNeura Consulting (Pvt) Ltd</w:t>
      </w:r>
    </w:p>
    <w:p>
      <w:pPr>
        <w:spacing w:after="60"/>
        <w:jc w:val="center"/>
      </w:pPr>
      <w:r>
        <w:rPr>
          <w:rFonts w:ascii="Arial" w:cs="Arial" w:eastAsia="Arial" w:hAnsi="Arial"/>
          <w:color w:val="555555"/>
          <w:sz w:val="20"/>
          <w:szCs w:val="20"/>
        </w:rPr>
        <w:t xml:space="preserve">Version 1.0  |  March 2026  |  CONFIDENTIAL</w:t>
      </w:r>
    </w:p>
    <w:p>
      <w:r>
        <w:br w:type="page"/>
      </w:r>
    </w:p>
    <w:p>
      <w:pPr>
        <w:pStyle w:val="Heading1"/>
        <w:spacing w:before="360" w:after="200"/>
      </w:pPr>
      <w:r>
        <w:rPr>
          <w:rFonts w:ascii="Arial" w:cs="Arial" w:eastAsia="Arial" w:hAnsi="Arial"/>
          <w:b/>
          <w:bCs/>
          <w:color w:val="1B3A5C"/>
          <w:sz w:val="32"/>
          <w:szCs w:val="32"/>
        </w:rPr>
        <w:t xml:space="preserve">1. What This MVP Is (And Isn’t)</w:t>
      </w:r>
    </w:p>
    <w:p>
      <w:pPr>
        <w:pBdr>
          <w:bottom w:val="single" w:color="2E75B6" w:sz="3" w:space="1"/>
        </w:pBdr>
        <w:spacing w:before="20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0F4F8" w:val="clear"/>
            <w:tcMar>
              <w:top w:type="dxa" w:w="160"/>
              <w:left w:type="dxa" w:w="240"/>
              <w:bottom w:type="dxa" w:w="160"/>
              <w:right w:type="dxa" w:w="240"/>
            </w:tcMar>
            <w:vAlign w:val="center"/>
          </w:tcPr>
          <w:p>
            <w:pPr>
              <w:spacing w:after="40"/>
            </w:pPr>
            <w:r>
              <w:rPr>
                <w:rFonts w:ascii="Arial" w:cs="Arial" w:eastAsia="Arial" w:hAnsi="Arial"/>
                <w:b/>
                <w:bCs/>
                <w:color w:val="1B3A5C"/>
                <w:sz w:val="22"/>
                <w:szCs w:val="22"/>
              </w:rPr>
              <w:t xml:space="preserve">This document scopes a deployable prototype covering the four assessment use cases that generate 80%+ of actual purchasing decisions in the leadership assessment market.</w:t>
            </w:r>
          </w:p>
        </w:tc>
      </w:tr>
    </w:tbl>
    <w:p>
      <w:pPr>
        <w:spacing w:after="120"/>
      </w:pPr>
    </w:p>
    <w:p>
      <w:pPr>
        <w:spacing w:after="160" w:line="276"/>
        <w:jc w:val="both"/>
      </w:pPr>
      <w:r>
        <w:rPr>
          <w:rFonts w:ascii="Arial" w:cs="Arial" w:eastAsia="Arial" w:hAnsi="Arial"/>
          <w:color w:val="333333"/>
          <w:sz w:val="21"/>
          <w:szCs w:val="21"/>
        </w:rPr>
        <w:t xml:space="preserve">After analysing the global leadership assessment market — platforms like SHL, DDI, Korn Ferry, CCL Benchmarks, Leadership Circle, Zenger Folkman, DISC, and CliftonStrengths — a clear pattern emerges. Organisations don’t buy “platforms.” They buy solutions to four specific problems. This MVP builds exactly those four solutions, packaged as a single cloud-hosted application.</w:t>
      </w:r>
    </w:p>
    <w:p>
      <w:pPr>
        <w:pStyle w:val="Heading2"/>
        <w:spacing w:before="280" w:after="160"/>
      </w:pPr>
      <w:r>
        <w:rPr>
          <w:rFonts w:ascii="Arial" w:cs="Arial" w:eastAsia="Arial" w:hAnsi="Arial"/>
          <w:b/>
          <w:bCs/>
          <w:color w:val="2E75B6"/>
          <w:sz w:val="26"/>
          <w:szCs w:val="26"/>
        </w:rPr>
        <w:t xml:space="preserve">1.1 The Four Use Cases Organisations Actually Buy</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200"/>
        <w:gridCol w:w="3826"/>
      </w:tblGrid>
      <w:tr>
        <w:tc>
          <w:tcPr>
            <w:tcW w:type="dxa" w:w="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t>
            </w:r>
          </w:p>
        </w:tc>
        <w:tc>
          <w:tcPr>
            <w:tcW w:type="dxa" w:w="1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Use Case</w:t>
            </w:r>
          </w:p>
        </w:tc>
        <w:tc>
          <w:tcPr>
            <w:tcW w:type="dxa" w:w="3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The Client Asks For</w:t>
            </w:r>
          </w:p>
        </w:tc>
        <w:tc>
          <w:tcPr>
            <w:tcW w:type="dxa" w:w="38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Market Evidence</w:t>
            </w:r>
          </w:p>
        </w:tc>
      </w:tr>
      <w:tr>
        <w:tc>
          <w:tcPr>
            <w:tcW w:type="dxa" w:w="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UC1</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360-Degree Feedback</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 need to give our managers structured feedback from their teams, peers, and bosses”</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90% of Fortune 500 firms use 360 feedback; it is the single most purchased leadership assessment service globally</w:t>
            </w:r>
          </w:p>
        </w:tc>
      </w:tr>
      <w:tr>
        <w:tc>
          <w:tcPr>
            <w:tcW w:type="dxa" w:w="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UC2</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Leadership Competency Assessment</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 need to evaluate our people against a competency framework to find gaps and plan development”</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Competency-based assessment is the foundation of succession planning, promotion decisions, and L&amp;D budget allocation in every major enterprise</w:t>
            </w:r>
          </w:p>
        </w:tc>
      </w:tr>
      <w:tr>
        <w:tc>
          <w:tcPr>
            <w:tcW w:type="dxa" w:w="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UC3</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Behavioural/Personality Profiling</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 want to understand our leaders’ personality styles, behavioural tendencies, and how they work with others”</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DISC, Big Five, MBTI, and Hogan are among the most purchased assessment products globally; DISC alone generates hundreds of millions in annual revenue</w:t>
            </w:r>
          </w:p>
        </w:tc>
      </w:tr>
      <w:tr>
        <w:tc>
          <w:tcPr>
            <w:tcW w:type="dxa" w:w="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UC4</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Leadership Readiness / Potential Assessment</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“We’re doing succession planning and need to identify who’s ready for the next level”</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Korn Ferry, DDI, and CCL’s primary revenue driver; every organisation with 200+ employees eventually needs this</w:t>
            </w:r>
          </w:p>
        </w:tc>
      </w:tr>
    </w:tbl>
    <w:p>
      <w:pPr>
        <w:spacing w:after="120"/>
      </w:pPr>
    </w:p>
    <w:p>
      <w:pPr>
        <w:pStyle w:val="Heading2"/>
        <w:spacing w:before="280" w:after="160"/>
      </w:pPr>
      <w:r>
        <w:rPr>
          <w:rFonts w:ascii="Arial" w:cs="Arial" w:eastAsia="Arial" w:hAnsi="Arial"/>
          <w:b/>
          <w:bCs/>
          <w:color w:val="2E75B6"/>
          <w:sz w:val="26"/>
          <w:szCs w:val="26"/>
        </w:rPr>
        <w:t xml:space="preserve">1.2 What This MVP Does NOT Include</w:t>
      </w:r>
    </w:p>
    <w:p>
      <w:pPr>
        <w:spacing w:after="160" w:line="276"/>
        <w:jc w:val="both"/>
      </w:pPr>
      <w:r>
        <w:rPr>
          <w:rFonts w:ascii="Arial" w:cs="Arial" w:eastAsia="Arial" w:hAnsi="Arial"/>
          <w:color w:val="333333"/>
          <w:sz w:val="21"/>
          <w:szCs w:val="21"/>
        </w:rPr>
        <w:t xml:space="preserve">The following capabilities from the full LeaderPrism vision are explicitly excluded from this prototype to keep scope tight and delivery fast:</w:t>
      </w:r>
    </w:p>
    <w:p>
      <w:pPr>
        <w:pStyle w:val="ListParagraph"/>
        <w:numPr>
          <w:ilvl w:val="0"/>
          <w:numId w:val="2"/>
        </w:numPr>
        <w:spacing w:after="80" w:line="264"/>
      </w:pPr>
      <w:r>
        <w:rPr>
          <w:rFonts w:ascii="Arial" w:cs="Arial" w:eastAsia="Arial" w:hAnsi="Arial"/>
          <w:color w:val="333333"/>
          <w:sz w:val="21"/>
          <w:szCs w:val="21"/>
        </w:rPr>
        <w:t xml:space="preserve">Role-play and simulation engine (M06) — complex, high-effort, and not the first thing clients ask for</w:t>
      </w:r>
    </w:p>
    <w:p>
      <w:pPr>
        <w:pStyle w:val="ListParagraph"/>
        <w:numPr>
          <w:ilvl w:val="0"/>
          <w:numId w:val="2"/>
        </w:numPr>
        <w:spacing w:after="80" w:line="264"/>
      </w:pPr>
      <w:r>
        <w:rPr>
          <w:rFonts w:ascii="Arial" w:cs="Arial" w:eastAsia="Arial" w:hAnsi="Arial"/>
          <w:color w:val="333333"/>
          <w:sz w:val="21"/>
          <w:szCs w:val="21"/>
        </w:rPr>
        <w:t xml:space="preserve">Assessment centre tools (M07) — requires facilitator training infrastructure</w:t>
      </w:r>
    </w:p>
    <w:p>
      <w:pPr>
        <w:pStyle w:val="ListParagraph"/>
        <w:numPr>
          <w:ilvl w:val="0"/>
          <w:numId w:val="2"/>
        </w:numPr>
        <w:spacing w:after="80" w:line="264"/>
      </w:pPr>
      <w:r>
        <w:rPr>
          <w:rFonts w:ascii="Arial" w:cs="Arial" w:eastAsia="Arial" w:hAnsi="Arial"/>
          <w:color w:val="333333"/>
          <w:sz w:val="21"/>
          <w:szCs w:val="21"/>
        </w:rPr>
        <w:t xml:space="preserve">Team dynamics assessment (M08) — nice-to-have, not a buying trigger</w:t>
      </w:r>
    </w:p>
    <w:p>
      <w:pPr>
        <w:pStyle w:val="ListParagraph"/>
        <w:numPr>
          <w:ilvl w:val="0"/>
          <w:numId w:val="2"/>
        </w:numPr>
        <w:spacing w:after="80" w:line="264"/>
      </w:pPr>
      <w:r>
        <w:rPr>
          <w:rFonts w:ascii="Arial" w:cs="Arial" w:eastAsia="Arial" w:hAnsi="Arial"/>
          <w:color w:val="333333"/>
          <w:sz w:val="21"/>
          <w:szCs w:val="21"/>
        </w:rPr>
        <w:t xml:space="preserve">Culture and values alignment (M09) — secondary to the four core use cases</w:t>
      </w:r>
    </w:p>
    <w:p>
      <w:pPr>
        <w:pStyle w:val="ListParagraph"/>
        <w:numPr>
          <w:ilvl w:val="0"/>
          <w:numId w:val="2"/>
        </w:numPr>
        <w:spacing w:after="80" w:line="264"/>
      </w:pPr>
      <w:r>
        <w:rPr>
          <w:rFonts w:ascii="Arial" w:cs="Arial" w:eastAsia="Arial" w:hAnsi="Arial"/>
          <w:color w:val="333333"/>
          <w:sz w:val="21"/>
          <w:szCs w:val="21"/>
        </w:rPr>
        <w:t xml:space="preserve">AI-powered coaching and development planning (M10) — Phase 2 add-on</w:t>
      </w:r>
    </w:p>
    <w:p>
      <w:pPr>
        <w:pStyle w:val="ListParagraph"/>
        <w:numPr>
          <w:ilvl w:val="0"/>
          <w:numId w:val="2"/>
        </w:numPr>
        <w:spacing w:after="80" w:line="264"/>
      </w:pPr>
      <w:r>
        <w:rPr>
          <w:rFonts w:ascii="Arial" w:cs="Arial" w:eastAsia="Arial" w:hAnsi="Arial"/>
          <w:color w:val="333333"/>
          <w:sz w:val="21"/>
          <w:szCs w:val="21"/>
        </w:rPr>
        <w:t xml:space="preserve">Custom assessment builder (M12) — Phase 3 platform capability</w:t>
      </w:r>
    </w:p>
    <w:p>
      <w:pPr>
        <w:pStyle w:val="ListParagraph"/>
        <w:numPr>
          <w:ilvl w:val="0"/>
          <w:numId w:val="2"/>
        </w:numPr>
        <w:spacing w:after="80" w:line="264"/>
      </w:pPr>
      <w:r>
        <w:rPr>
          <w:rFonts w:ascii="Arial" w:cs="Arial" w:eastAsia="Arial" w:hAnsi="Arial"/>
          <w:color w:val="333333"/>
          <w:sz w:val="21"/>
          <w:szCs w:val="21"/>
        </w:rPr>
        <w:t xml:space="preserve">White-label and multi-client management — enterprise feature, not needed for prototype</w:t>
      </w:r>
    </w:p>
    <w:p>
      <w:pPr>
        <w:pStyle w:val="ListParagraph"/>
        <w:numPr>
          <w:ilvl w:val="0"/>
          <w:numId w:val="2"/>
        </w:numPr>
        <w:spacing w:after="80" w:line="264"/>
      </w:pPr>
      <w:r>
        <w:rPr>
          <w:rFonts w:ascii="Arial" w:cs="Arial" w:eastAsia="Arial" w:hAnsi="Arial"/>
          <w:color w:val="333333"/>
          <w:sz w:val="21"/>
          <w:szCs w:val="21"/>
        </w:rPr>
        <w:t xml:space="preserve">Video vignettes and branching scenarios — content-heavy; text-based SJTs serve the purpose for MVP</w:t>
      </w:r>
    </w:p>
    <w:p>
      <w:r>
        <w:br w:type="page"/>
      </w:r>
    </w:p>
    <w:p>
      <w:pPr>
        <w:pStyle w:val="Heading1"/>
        <w:spacing w:before="360" w:after="200"/>
      </w:pPr>
      <w:r>
        <w:rPr>
          <w:rFonts w:ascii="Arial" w:cs="Arial" w:eastAsia="Arial" w:hAnsi="Arial"/>
          <w:b/>
          <w:bCs/>
          <w:color w:val="1B3A5C"/>
          <w:sz w:val="32"/>
          <w:szCs w:val="32"/>
        </w:rPr>
        <w:t xml:space="preserve">2. Use Case Deep Dives</w:t>
      </w:r>
    </w:p>
    <w:p>
      <w:pPr>
        <w:pBdr>
          <w:bottom w:val="single" w:color="2E75B6" w:sz="3" w:space="1"/>
        </w:pBdr>
        <w:spacing w:before="200" w:after="200"/>
      </w:pPr>
    </w:p>
    <w:p>
      <w:pPr>
        <w:pStyle w:val="Heading2"/>
        <w:spacing w:before="280" w:after="160"/>
      </w:pPr>
      <w:r>
        <w:rPr>
          <w:rFonts w:ascii="Arial" w:cs="Arial" w:eastAsia="Arial" w:hAnsi="Arial"/>
          <w:b/>
          <w:bCs/>
          <w:color w:val="2E75B6"/>
          <w:sz w:val="26"/>
          <w:szCs w:val="26"/>
        </w:rPr>
        <w:t xml:space="preserve">2.1 UC1: 360-Degree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FF3E0" w:val="clear"/>
            <w:tcMar>
              <w:top w:type="dxa" w:w="120"/>
              <w:left w:type="dxa" w:w="200"/>
              <w:bottom w:type="dxa" w:w="120"/>
              <w:right w:type="dxa" w:w="200"/>
            </w:tcMar>
            <w:vAlign w:val="center"/>
          </w:tcPr>
          <w:p>
            <w:pPr>
              <w:spacing w:after="40"/>
            </w:pPr>
            <w:r>
              <w:rPr>
                <w:rFonts w:ascii="Arial" w:cs="Arial" w:eastAsia="Arial" w:hAnsi="Arial"/>
                <w:b/>
                <w:bCs/>
                <w:color w:val="E8913A"/>
                <w:sz w:val="21"/>
                <w:szCs w:val="21"/>
              </w:rPr>
              <w:t xml:space="preserve">PRIORITY: HIGHEST — This is the single most requested feature in every HR consultancy engagement.</w:t>
            </w:r>
          </w:p>
        </w:tc>
      </w:tr>
    </w:tbl>
    <w:p>
      <w:pPr>
        <w:spacing w:after="80"/>
      </w:pPr>
    </w:p>
    <w:p>
      <w:pPr>
        <w:spacing w:before="200" w:after="120"/>
      </w:pPr>
      <w:r>
        <w:rPr>
          <w:rFonts w:ascii="Arial" w:cs="Arial" w:eastAsia="Arial" w:hAnsi="Arial"/>
          <w:b/>
          <w:bCs/>
          <w:color w:val="1B3A5C"/>
          <w:sz w:val="22"/>
          <w:szCs w:val="22"/>
        </w:rPr>
        <w:t xml:space="preserve">What The Client Experiences</w:t>
      </w:r>
    </w:p>
    <w:p>
      <w:pPr>
        <w:spacing w:after="160" w:line="276"/>
        <w:jc w:val="both"/>
      </w:pPr>
      <w:r>
        <w:rPr>
          <w:rFonts w:ascii="Arial" w:cs="Arial" w:eastAsia="Arial" w:hAnsi="Arial"/>
          <w:color w:val="333333"/>
          <w:sz w:val="21"/>
          <w:szCs w:val="21"/>
        </w:rPr>
        <w:t xml:space="preserve">The HR consultancy’s client (typically an L&amp;D Manager or CHRO) wants to run a 360-degree feedback programme for a group of 10–50 managers. They expect a clean, professional process that collects anonymous feedback from multiple perspectives, produces a polished report per participant, and gives enough data to plan development interventions.</w:t>
      </w:r>
    </w:p>
    <w:p>
      <w:pPr>
        <w:spacing w:before="200" w:after="120"/>
      </w:pPr>
      <w:r>
        <w:rPr>
          <w:rFonts w:ascii="Arial" w:cs="Arial" w:eastAsia="Arial" w:hAnsi="Arial"/>
          <w:b/>
          <w:bCs/>
          <w:color w:val="1B3A5C"/>
          <w:sz w:val="22"/>
          <w:szCs w:val="22"/>
        </w:rPr>
        <w:t xml:space="preserve">Functional Requirements</w:t>
      </w:r>
    </w:p>
    <w:p>
      <w:pPr>
        <w:pStyle w:val="ListParagraph"/>
        <w:numPr>
          <w:ilvl w:val="0"/>
          <w:numId w:val="3"/>
        </w:numPr>
        <w:spacing w:after="80" w:line="264"/>
      </w:pPr>
      <w:r>
        <w:rPr>
          <w:rFonts w:ascii="Arial" w:cs="Arial" w:eastAsia="Arial" w:hAnsi="Arial"/>
          <w:b/>
          <w:bCs/>
          <w:color w:val="333333"/>
          <w:sz w:val="21"/>
          <w:szCs w:val="21"/>
        </w:rPr>
        <w:t xml:space="preserve">Assessment Configuration: </w:t>
      </w:r>
      <w:r>
        <w:rPr>
          <w:rFonts w:ascii="Arial" w:cs="Arial" w:eastAsia="Arial" w:hAnsi="Arial"/>
          <w:color w:val="333333"/>
          <w:sz w:val="21"/>
          <w:szCs w:val="21"/>
        </w:rPr>
        <w:t xml:space="preserve">Admin selects competencies from a pre-built library (or uses the default set), chooses the rating scale, sets the assessment window dates, and optionally adds open-ended questions.</w:t>
      </w:r>
    </w:p>
    <w:p>
      <w:pPr>
        <w:pStyle w:val="ListParagraph"/>
        <w:numPr>
          <w:ilvl w:val="0"/>
          <w:numId w:val="3"/>
        </w:numPr>
        <w:spacing w:after="80" w:line="264"/>
      </w:pPr>
      <w:r>
        <w:rPr>
          <w:rFonts w:ascii="Arial" w:cs="Arial" w:eastAsia="Arial" w:hAnsi="Arial"/>
          <w:b/>
          <w:bCs/>
          <w:color w:val="333333"/>
          <w:sz w:val="21"/>
          <w:szCs w:val="21"/>
        </w:rPr>
        <w:t xml:space="preserve">Participant &amp; Rater Management: </w:t>
      </w:r>
      <w:r>
        <w:rPr>
          <w:rFonts w:ascii="Arial" w:cs="Arial" w:eastAsia="Arial" w:hAnsi="Arial"/>
          <w:color w:val="333333"/>
          <w:sz w:val="21"/>
          <w:szCs w:val="21"/>
        </w:rPr>
        <w:t xml:space="preserve">Admin uploads participant list (CSV or manual entry). Each participant nominates their raters (supervisor, peers, direct reports). Admin reviews and approves nominations. System validates minimum rater thresholds (3 per perspective group).</w:t>
      </w:r>
    </w:p>
    <w:p>
      <w:pPr>
        <w:pStyle w:val="ListParagraph"/>
        <w:numPr>
          <w:ilvl w:val="0"/>
          <w:numId w:val="3"/>
        </w:numPr>
        <w:spacing w:after="80" w:line="264"/>
      </w:pPr>
      <w:r>
        <w:rPr>
          <w:rFonts w:ascii="Arial" w:cs="Arial" w:eastAsia="Arial" w:hAnsi="Arial"/>
          <w:b/>
          <w:bCs/>
          <w:color w:val="333333"/>
          <w:sz w:val="21"/>
          <w:szCs w:val="21"/>
        </w:rPr>
        <w:t xml:space="preserve">Assessment Distribution: </w:t>
      </w:r>
      <w:r>
        <w:rPr>
          <w:rFonts w:ascii="Arial" w:cs="Arial" w:eastAsia="Arial" w:hAnsi="Arial"/>
          <w:color w:val="333333"/>
          <w:sz w:val="21"/>
          <w:szCs w:val="21"/>
        </w:rPr>
        <w:t xml:space="preserve">System sends personalised email invitations. Participants receive a self-assessment link. Raters receive anonymous feedback links (no login required — just a unique secure token). Automated reminders at Day 3, Day 7, and Day 10.</w:t>
      </w:r>
    </w:p>
    <w:p>
      <w:pPr>
        <w:pStyle w:val="ListParagraph"/>
        <w:numPr>
          <w:ilvl w:val="0"/>
          <w:numId w:val="3"/>
        </w:numPr>
        <w:spacing w:after="80" w:line="264"/>
      </w:pPr>
      <w:r>
        <w:rPr>
          <w:rFonts w:ascii="Arial" w:cs="Arial" w:eastAsia="Arial" w:hAnsi="Arial"/>
          <w:b/>
          <w:bCs/>
          <w:color w:val="333333"/>
          <w:sz w:val="21"/>
          <w:szCs w:val="21"/>
        </w:rPr>
        <w:t xml:space="preserve">Rating Interface: </w:t>
      </w:r>
      <w:r>
        <w:rPr>
          <w:rFonts w:ascii="Arial" w:cs="Arial" w:eastAsia="Arial" w:hAnsi="Arial"/>
          <w:color w:val="333333"/>
          <w:sz w:val="21"/>
          <w:szCs w:val="21"/>
        </w:rPr>
        <w:t xml:space="preserve">Clean, mobile-responsive rating interface. Each competency shows 3–5 behavioural statements rated on a 5-point frequency scale (Rarely → Consistently). Optional open-ended comment box per competency cluster. Progress bar and estimated completion time (target: 12–15 minutes per rater).</w:t>
      </w:r>
    </w:p>
    <w:p>
      <w:pPr>
        <w:pStyle w:val="ListParagraph"/>
        <w:numPr>
          <w:ilvl w:val="0"/>
          <w:numId w:val="3"/>
        </w:numPr>
        <w:spacing w:after="80" w:line="264"/>
      </w:pPr>
      <w:r>
        <w:rPr>
          <w:rFonts w:ascii="Arial" w:cs="Arial" w:eastAsia="Arial" w:hAnsi="Arial"/>
          <w:b/>
          <w:bCs/>
          <w:color w:val="333333"/>
          <w:sz w:val="21"/>
          <w:szCs w:val="21"/>
        </w:rPr>
        <w:t xml:space="preserve">Anonymity Safeguards: </w:t>
      </w:r>
      <w:r>
        <w:rPr>
          <w:rFonts w:ascii="Arial" w:cs="Arial" w:eastAsia="Arial" w:hAnsi="Arial"/>
          <w:color w:val="333333"/>
          <w:sz w:val="21"/>
          <w:szCs w:val="21"/>
        </w:rPr>
        <w:t xml:space="preserve">Results only shown when ≥3 raters per perspective group have responded. Comments shuffled and presented without attribution. Rater category merging when group size &lt; 3. Explicit anonymity guarantee shown to raters in Sinhala, Tamil, and English.</w:t>
      </w:r>
    </w:p>
    <w:p>
      <w:pPr>
        <w:pStyle w:val="ListParagraph"/>
        <w:numPr>
          <w:ilvl w:val="0"/>
          <w:numId w:val="3"/>
        </w:numPr>
        <w:spacing w:after="80" w:line="264"/>
      </w:pPr>
      <w:r>
        <w:rPr>
          <w:rFonts w:ascii="Arial" w:cs="Arial" w:eastAsia="Arial" w:hAnsi="Arial"/>
          <w:b/>
          <w:bCs/>
          <w:color w:val="333333"/>
          <w:sz w:val="21"/>
          <w:szCs w:val="21"/>
        </w:rPr>
        <w:t xml:space="preserve">Report Generation: </w:t>
      </w:r>
      <w:r>
        <w:rPr>
          <w:rFonts w:ascii="Arial" w:cs="Arial" w:eastAsia="Arial" w:hAnsi="Arial"/>
          <w:color w:val="333333"/>
          <w:sz w:val="21"/>
          <w:szCs w:val="21"/>
        </w:rPr>
        <w:t xml:space="preserve">Individual 360 Feedback Report (PDF, 8–12 pages) containing: overall leadership effectiveness score; competency-level radar/spider chart; self vs. others gap analysis per competency; perspective comparison (how supervisor, peers, and reports each rate the leader); highest-rated and lowest-rated behaviours; open-ended comment themes (anonymised); development priority recommendations (auto-generated).</w:t>
      </w:r>
    </w:p>
    <w:p>
      <w:pPr>
        <w:pStyle w:val="ListParagraph"/>
        <w:numPr>
          <w:ilvl w:val="0"/>
          <w:numId w:val="3"/>
        </w:numPr>
        <w:spacing w:after="80" w:line="264"/>
      </w:pPr>
      <w:r>
        <w:rPr>
          <w:rFonts w:ascii="Arial" w:cs="Arial" w:eastAsia="Arial" w:hAnsi="Arial"/>
          <w:b/>
          <w:bCs/>
          <w:color w:val="333333"/>
          <w:sz w:val="21"/>
          <w:szCs w:val="21"/>
        </w:rPr>
        <w:t xml:space="preserve">Admin Dashboard: </w:t>
      </w:r>
      <w:r>
        <w:rPr>
          <w:rFonts w:ascii="Arial" w:cs="Arial" w:eastAsia="Arial" w:hAnsi="Arial"/>
          <w:color w:val="333333"/>
          <w:sz w:val="21"/>
          <w:szCs w:val="21"/>
        </w:rPr>
        <w:t xml:space="preserve">Real-time response rate tracking per participant. Reminder trigger controls. Batch report generation. Export to Excel for organisational-level analysis.</w:t>
      </w:r>
    </w:p>
    <w:p>
      <w:pPr>
        <w:spacing w:before="200" w:after="120"/>
      </w:pPr>
      <w:r>
        <w:rPr>
          <w:rFonts w:ascii="Arial" w:cs="Arial" w:eastAsia="Arial" w:hAnsi="Arial"/>
          <w:b/>
          <w:bCs/>
          <w:color w:val="1B3A5C"/>
          <w:sz w:val="22"/>
          <w:szCs w:val="22"/>
        </w:rPr>
        <w:t xml:space="preserve">Competency Framework (Default for 360)</w:t>
      </w:r>
    </w:p>
    <w:p>
      <w:pPr>
        <w:spacing w:after="160" w:line="276"/>
        <w:jc w:val="both"/>
      </w:pPr>
      <w:r>
        <w:rPr>
          <w:rFonts w:ascii="Arial" w:cs="Arial" w:eastAsia="Arial" w:hAnsi="Arial"/>
          <w:color w:val="333333"/>
          <w:sz w:val="21"/>
          <w:szCs w:val="21"/>
        </w:rPr>
        <w:t xml:space="preserve">The MVP ships with a default 360 competency framework of 8 competency clusters (expandable), each with 4–5 behavioural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1826"/>
      </w:tblGrid>
      <w:tr>
        <w:tc>
          <w:tcPr>
            <w:tcW w:type="dxa" w:w="1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Competency Cluster</w:t>
            </w:r>
          </w:p>
        </w:tc>
        <w:tc>
          <w:tcPr>
            <w:tcW w:type="dxa" w:w="5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Sample Behavioural Indicators (Rated by Raters)</w:t>
            </w:r>
          </w:p>
        </w:tc>
        <w:tc>
          <w:tcPr>
            <w:tcW w:type="dxa" w:w="18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Domain</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Communication &amp; Influence</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Communicates clearly and persuasively; adapts communication style to different audiences; actively listens; presents ideas with confidence</w:t>
            </w:r>
          </w:p>
        </w:tc>
        <w:tc>
          <w:tcPr>
            <w:tcW w:type="dxa" w:w="1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People</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Team Leadership &amp; Development</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Builds effective teams; delegates appropriately; develops team members’ capabilities; provides regular coaching and feedback</w:t>
            </w:r>
          </w:p>
        </w:tc>
        <w:tc>
          <w:tcPr>
            <w:tcW w:type="dxa" w:w="1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People</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Decision Making &amp; Problem Solving</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Makes timely decisions with available information; analyses problems systematically; considers multiple perspectives before deciding</w:t>
            </w:r>
          </w:p>
        </w:tc>
        <w:tc>
          <w:tcPr>
            <w:tcW w:type="dxa" w:w="1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Conceptual</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Strategic Thinking</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Connects team activities to organisational strategy; anticipates future challenges; thinks beyond immediate operational concerns</w:t>
            </w:r>
          </w:p>
        </w:tc>
        <w:tc>
          <w:tcPr>
            <w:tcW w:type="dxa" w:w="1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Conceptual</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Emotional Intelligence</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Manages own emotions under pressure; shows empathy; reads interpersonal dynamics; builds trust-based relationships</w:t>
            </w:r>
          </w:p>
        </w:tc>
        <w:tc>
          <w:tcPr>
            <w:tcW w:type="dxa" w:w="1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Behavioural</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Accountability &amp; Integrity</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Takes ownership of outcomes; follows through on commitments; acts consistently with stated values; admits mistakes</w:t>
            </w:r>
          </w:p>
        </w:tc>
        <w:tc>
          <w:tcPr>
            <w:tcW w:type="dxa" w:w="1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Behavioural</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Change &amp; Innovation</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Embraces new approaches; encourages experimentation; manages resistance constructively; leads effectively through change</w:t>
            </w:r>
          </w:p>
        </w:tc>
        <w:tc>
          <w:tcPr>
            <w:tcW w:type="dxa" w:w="1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Conceptual</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Results Orientation</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Sets clear performance standards; monitors progress; removes obstacles for the team; delivers results consistently</w:t>
            </w:r>
          </w:p>
        </w:tc>
        <w:tc>
          <w:tcPr>
            <w:tcW w:type="dxa" w:w="1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Technical</w:t>
            </w:r>
          </w:p>
        </w:tc>
      </w:tr>
    </w:tbl>
    <w:p>
      <w:r>
        <w:br w:type="page"/>
      </w:r>
    </w:p>
    <w:p>
      <w:pPr>
        <w:pStyle w:val="Heading2"/>
        <w:spacing w:before="280" w:after="160"/>
      </w:pPr>
      <w:r>
        <w:rPr>
          <w:rFonts w:ascii="Arial" w:cs="Arial" w:eastAsia="Arial" w:hAnsi="Arial"/>
          <w:b/>
          <w:bCs/>
          <w:color w:val="2E75B6"/>
          <w:sz w:val="26"/>
          <w:szCs w:val="26"/>
        </w:rPr>
        <w:t xml:space="preserve">2.2 UC2: Leadership Competency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FF3E0" w:val="clear"/>
            <w:tcMar>
              <w:top w:type="dxa" w:w="120"/>
              <w:left w:type="dxa" w:w="200"/>
              <w:bottom w:type="dxa" w:w="120"/>
              <w:right w:type="dxa" w:w="200"/>
            </w:tcMar>
            <w:vAlign w:val="center"/>
          </w:tcPr>
          <w:p>
            <w:pPr>
              <w:spacing w:after="40"/>
            </w:pPr>
            <w:r>
              <w:rPr>
                <w:rFonts w:ascii="Arial" w:cs="Arial" w:eastAsia="Arial" w:hAnsi="Arial"/>
                <w:b/>
                <w:bCs/>
                <w:color w:val="E8913A"/>
                <w:sz w:val="21"/>
                <w:szCs w:val="21"/>
              </w:rPr>
              <w:t xml:space="preserve">PRIORITY: HIGH — The natural companion to 360 feedback; clients almost always buy both together.</w:t>
            </w:r>
          </w:p>
        </w:tc>
      </w:tr>
    </w:tbl>
    <w:p>
      <w:pPr>
        <w:spacing w:after="80"/>
      </w:pPr>
    </w:p>
    <w:p>
      <w:pPr>
        <w:spacing w:before="200" w:after="120"/>
      </w:pPr>
      <w:r>
        <w:rPr>
          <w:rFonts w:ascii="Arial" w:cs="Arial" w:eastAsia="Arial" w:hAnsi="Arial"/>
          <w:b/>
          <w:bCs/>
          <w:color w:val="1B3A5C"/>
          <w:sz w:val="22"/>
          <w:szCs w:val="22"/>
        </w:rPr>
        <w:t xml:space="preserve">What The Client Experiences</w:t>
      </w:r>
    </w:p>
    <w:p>
      <w:pPr>
        <w:spacing w:after="160" w:line="276"/>
        <w:jc w:val="both"/>
      </w:pPr>
      <w:r>
        <w:rPr>
          <w:rFonts w:ascii="Arial" w:cs="Arial" w:eastAsia="Arial" w:hAnsi="Arial"/>
          <w:color w:val="333333"/>
          <w:sz w:val="21"/>
          <w:szCs w:val="21"/>
        </w:rPr>
        <w:t xml:space="preserve">The client wants to evaluate a cohort of employees against a defined competency framework, typically for succession planning, promotion readiness, or training needs analysis. Unlike 360 feedback (which measures perception), competency assessment measures actual demonstrated capability through a combination of self-assessment, manager assessment, and optional knowledge-based questions.</w:t>
      </w:r>
    </w:p>
    <w:p>
      <w:pPr>
        <w:spacing w:before="200" w:after="120"/>
      </w:pPr>
      <w:r>
        <w:rPr>
          <w:rFonts w:ascii="Arial" w:cs="Arial" w:eastAsia="Arial" w:hAnsi="Arial"/>
          <w:b/>
          <w:bCs/>
          <w:color w:val="1B3A5C"/>
          <w:sz w:val="22"/>
          <w:szCs w:val="22"/>
        </w:rPr>
        <w:t xml:space="preserve">Functional Requirements</w:t>
      </w:r>
    </w:p>
    <w:p>
      <w:pPr>
        <w:pStyle w:val="ListParagraph"/>
        <w:numPr>
          <w:ilvl w:val="0"/>
          <w:numId w:val="3"/>
        </w:numPr>
        <w:spacing w:after="80" w:line="264"/>
      </w:pPr>
      <w:r>
        <w:rPr>
          <w:rFonts w:ascii="Arial" w:cs="Arial" w:eastAsia="Arial" w:hAnsi="Arial"/>
          <w:b/>
          <w:bCs/>
          <w:color w:val="333333"/>
          <w:sz w:val="21"/>
          <w:szCs w:val="21"/>
        </w:rPr>
        <w:t xml:space="preserve">Competency Framework Setup: </w:t>
      </w:r>
      <w:r>
        <w:rPr>
          <w:rFonts w:ascii="Arial" w:cs="Arial" w:eastAsia="Arial" w:hAnsi="Arial"/>
          <w:color w:val="333333"/>
          <w:sz w:val="21"/>
          <w:szCs w:val="21"/>
        </w:rPr>
        <w:t xml:space="preserve">Admin selects from pre-built frameworks (mapped to the four domains: Technical, People, Conceptual, Behavioural) or creates a custom framework. Each competency has 4 proficiency levels (Emerging, Developing, Proficient, Mastery) with specific behavioural descriptors at each level.</w:t>
      </w:r>
    </w:p>
    <w:p>
      <w:pPr>
        <w:pStyle w:val="ListParagraph"/>
        <w:numPr>
          <w:ilvl w:val="0"/>
          <w:numId w:val="3"/>
        </w:numPr>
        <w:spacing w:after="80" w:line="264"/>
      </w:pPr>
      <w:r>
        <w:rPr>
          <w:rFonts w:ascii="Arial" w:cs="Arial" w:eastAsia="Arial" w:hAnsi="Arial"/>
          <w:b/>
          <w:bCs/>
          <w:color w:val="333333"/>
          <w:sz w:val="21"/>
          <w:szCs w:val="21"/>
        </w:rPr>
        <w:t xml:space="preserve">Self-Assessment: </w:t>
      </w:r>
      <w:r>
        <w:rPr>
          <w:rFonts w:ascii="Arial" w:cs="Arial" w:eastAsia="Arial" w:hAnsi="Arial"/>
          <w:color w:val="333333"/>
          <w:sz w:val="21"/>
          <w:szCs w:val="21"/>
        </w:rPr>
        <w:t xml:space="preserve">Participant rates themselves against each competency using the proficiency level descriptors. They provide brief evidence/examples for their self-rating (optional but encouraged). Target completion: 15–20 minutes.</w:t>
      </w:r>
    </w:p>
    <w:p>
      <w:pPr>
        <w:pStyle w:val="ListParagraph"/>
        <w:numPr>
          <w:ilvl w:val="0"/>
          <w:numId w:val="3"/>
        </w:numPr>
        <w:spacing w:after="80" w:line="264"/>
      </w:pPr>
      <w:r>
        <w:rPr>
          <w:rFonts w:ascii="Arial" w:cs="Arial" w:eastAsia="Arial" w:hAnsi="Arial"/>
          <w:b/>
          <w:bCs/>
          <w:color w:val="333333"/>
          <w:sz w:val="21"/>
          <w:szCs w:val="21"/>
        </w:rPr>
        <w:t xml:space="preserve">Manager Assessment: </w:t>
      </w:r>
      <w:r>
        <w:rPr>
          <w:rFonts w:ascii="Arial" w:cs="Arial" w:eastAsia="Arial" w:hAnsi="Arial"/>
          <w:color w:val="333333"/>
          <w:sz w:val="21"/>
          <w:szCs w:val="21"/>
        </w:rPr>
        <w:t xml:space="preserve">Participant’s direct manager rates the participant using the same framework. Manager provides evidence ratings and development comments per competency. Target completion: 10–15 minutes per direct report.</w:t>
      </w:r>
    </w:p>
    <w:p>
      <w:pPr>
        <w:pStyle w:val="ListParagraph"/>
        <w:numPr>
          <w:ilvl w:val="0"/>
          <w:numId w:val="3"/>
        </w:numPr>
        <w:spacing w:after="80" w:line="264"/>
      </w:pPr>
      <w:r>
        <w:rPr>
          <w:rFonts w:ascii="Arial" w:cs="Arial" w:eastAsia="Arial" w:hAnsi="Arial"/>
          <w:b/>
          <w:bCs/>
          <w:color w:val="333333"/>
          <w:sz w:val="21"/>
          <w:szCs w:val="21"/>
        </w:rPr>
        <w:t xml:space="preserve">Knowledge-Based Questions (Optional Add-On): </w:t>
      </w:r>
      <w:r>
        <w:rPr>
          <w:rFonts w:ascii="Arial" w:cs="Arial" w:eastAsia="Arial" w:hAnsi="Arial"/>
          <w:color w:val="333333"/>
          <w:sz w:val="21"/>
          <w:szCs w:val="21"/>
        </w:rPr>
        <w:t xml:space="preserve">For technical and functional competencies, short MCQ quizzes (5–10 questions per competency) can validate self/manager ratings with objective knowledge testing. Item bank with 150+ questions across common leadership domains.</w:t>
      </w:r>
    </w:p>
    <w:p>
      <w:pPr>
        <w:pStyle w:val="ListParagraph"/>
        <w:numPr>
          <w:ilvl w:val="0"/>
          <w:numId w:val="3"/>
        </w:numPr>
        <w:spacing w:after="80" w:line="264"/>
      </w:pPr>
      <w:r>
        <w:rPr>
          <w:rFonts w:ascii="Arial" w:cs="Arial" w:eastAsia="Arial" w:hAnsi="Arial"/>
          <w:b/>
          <w:bCs/>
          <w:color w:val="333333"/>
          <w:sz w:val="21"/>
          <w:szCs w:val="21"/>
        </w:rPr>
        <w:t xml:space="preserve">Gap Analysis Report: </w:t>
      </w:r>
      <w:r>
        <w:rPr>
          <w:rFonts w:ascii="Arial" w:cs="Arial" w:eastAsia="Arial" w:hAnsi="Arial"/>
          <w:color w:val="333333"/>
          <w:sz w:val="21"/>
          <w:szCs w:val="21"/>
        </w:rPr>
        <w:t xml:space="preserve">Individual Competency Profile Report (PDF, 6–8 pages) containing: competency radar chart across four domains; self vs. manager gap analysis; proficiency level per competency with colour coding (red/amber/green); domain-level summary scores; strength identification (top 3 competencies); development priorities (bottom 3 with recommended actions); comparison to role expectations (if role profile is defined).</w:t>
      </w:r>
    </w:p>
    <w:p>
      <w:pPr>
        <w:pStyle w:val="ListParagraph"/>
        <w:numPr>
          <w:ilvl w:val="0"/>
          <w:numId w:val="3"/>
        </w:numPr>
        <w:spacing w:after="80" w:line="264"/>
      </w:pPr>
      <w:r>
        <w:rPr>
          <w:rFonts w:ascii="Arial" w:cs="Arial" w:eastAsia="Arial" w:hAnsi="Arial"/>
          <w:b/>
          <w:bCs/>
          <w:color w:val="333333"/>
          <w:sz w:val="21"/>
          <w:szCs w:val="21"/>
        </w:rPr>
        <w:t xml:space="preserve">Organisational View: </w:t>
      </w:r>
      <w:r>
        <w:rPr>
          <w:rFonts w:ascii="Arial" w:cs="Arial" w:eastAsia="Arial" w:hAnsi="Arial"/>
          <w:color w:val="333333"/>
          <w:sz w:val="21"/>
          <w:szCs w:val="21"/>
        </w:rPr>
        <w:t xml:space="preserve">Admin can view aggregated competency heat map across the assessed cohort. Filter by department, level, domain. Export capability for leadership pipeline and succession planning discussions.</w:t>
      </w:r>
    </w:p>
    <w:p>
      <w:r>
        <w:br w:type="page"/>
      </w:r>
    </w:p>
    <w:p>
      <w:pPr>
        <w:pStyle w:val="Heading2"/>
        <w:spacing w:before="280" w:after="160"/>
      </w:pPr>
      <w:r>
        <w:rPr>
          <w:rFonts w:ascii="Arial" w:cs="Arial" w:eastAsia="Arial" w:hAnsi="Arial"/>
          <w:b/>
          <w:bCs/>
          <w:color w:val="2E75B6"/>
          <w:sz w:val="26"/>
          <w:szCs w:val="26"/>
        </w:rPr>
        <w:t xml:space="preserve">2.3 UC3: Behavioural / Personality Profiling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FF3E0" w:val="clear"/>
            <w:tcMar>
              <w:top w:type="dxa" w:w="120"/>
              <w:left w:type="dxa" w:w="200"/>
              <w:bottom w:type="dxa" w:w="120"/>
              <w:right w:type="dxa" w:w="200"/>
            </w:tcMar>
            <w:vAlign w:val="center"/>
          </w:tcPr>
          <w:p>
            <w:pPr>
              <w:spacing w:after="40"/>
            </w:pPr>
            <w:r>
              <w:rPr>
                <w:rFonts w:ascii="Arial" w:cs="Arial" w:eastAsia="Arial" w:hAnsi="Arial"/>
                <w:b/>
                <w:bCs/>
                <w:color w:val="E8913A"/>
                <w:sz w:val="21"/>
                <w:szCs w:val="21"/>
              </w:rPr>
              <w:t xml:space="preserve">PRIORITY: HIGH — The most widely purchased standalone assessment type globally.</w:t>
            </w:r>
          </w:p>
        </w:tc>
      </w:tr>
    </w:tbl>
    <w:p>
      <w:pPr>
        <w:spacing w:after="80"/>
      </w:pPr>
    </w:p>
    <w:p>
      <w:pPr>
        <w:spacing w:before="200" w:after="120"/>
      </w:pPr>
      <w:r>
        <w:rPr>
          <w:rFonts w:ascii="Arial" w:cs="Arial" w:eastAsia="Arial" w:hAnsi="Arial"/>
          <w:b/>
          <w:bCs/>
          <w:color w:val="1B3A5C"/>
          <w:sz w:val="22"/>
          <w:szCs w:val="22"/>
        </w:rPr>
        <w:t xml:space="preserve">What The Client Experiences</w:t>
      </w:r>
    </w:p>
    <w:p>
      <w:pPr>
        <w:spacing w:after="160" w:line="276"/>
        <w:jc w:val="both"/>
      </w:pPr>
      <w:r>
        <w:rPr>
          <w:rFonts w:ascii="Arial" w:cs="Arial" w:eastAsia="Arial" w:hAnsi="Arial"/>
          <w:color w:val="333333"/>
          <w:sz w:val="21"/>
          <w:szCs w:val="21"/>
        </w:rPr>
        <w:t xml:space="preserve">The client wants to understand the behavioural and personality tendencies of their leaders. This is typically used for self-awareness workshops, team-building sessions, coaching engagements, and as a complement to 360 feedback. The output is a personality profile that helps leaders understand their natural tendencies, communication style, stress responses, and leadership approach.</w:t>
      </w:r>
    </w:p>
    <w:p>
      <w:pPr>
        <w:spacing w:before="200" w:after="120"/>
      </w:pPr>
      <w:r>
        <w:rPr>
          <w:rFonts w:ascii="Arial" w:cs="Arial" w:eastAsia="Arial" w:hAnsi="Arial"/>
          <w:b/>
          <w:bCs/>
          <w:color w:val="1B3A5C"/>
          <w:sz w:val="22"/>
          <w:szCs w:val="22"/>
        </w:rPr>
        <w:t xml:space="preserve">Assessment Methodology</w:t>
      </w:r>
    </w:p>
    <w:p>
      <w:pPr>
        <w:spacing w:after="160" w:line="276"/>
        <w:jc w:val="both"/>
      </w:pPr>
      <w:r>
        <w:rPr>
          <w:rFonts w:ascii="Arial" w:cs="Arial" w:eastAsia="Arial" w:hAnsi="Arial"/>
          <w:color w:val="333333"/>
          <w:sz w:val="21"/>
          <w:szCs w:val="21"/>
        </w:rPr>
        <w:t xml:space="preserve">The MVP uses a Big Five (OCEAN) based personality model, which is the most scientifically validated personality framework and the foundation used by most professional assessment platforms. The implementation uses a proprietary questionnaire of 60 items (12 per factor) with a mix of Likert-scale and forced-choice items to reduce social desirability bias.</w:t>
      </w:r>
    </w:p>
    <w:p>
      <w:pPr>
        <w:spacing w:before="200" w:after="120"/>
      </w:pPr>
      <w:r>
        <w:rPr>
          <w:rFonts w:ascii="Arial" w:cs="Arial" w:eastAsia="Arial" w:hAnsi="Arial"/>
          <w:b/>
          <w:bCs/>
          <w:color w:val="1B3A5C"/>
          <w:sz w:val="22"/>
          <w:szCs w:val="22"/>
        </w:rPr>
        <w:t xml:space="preserve">The Five Factors (Mapped to Leadership)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000"/>
        <w:gridCol w:w="2626"/>
      </w:tblGrid>
      <w:tr>
        <w:tc>
          <w:tcPr>
            <w:tcW w:type="dxa" w:w="1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Factor</w:t>
            </w:r>
          </w:p>
        </w:tc>
        <w:tc>
          <w:tcPr>
            <w:tcW w:type="dxa" w:w="1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What It Measures</w:t>
            </w:r>
          </w:p>
        </w:tc>
        <w:tc>
          <w:tcPr>
            <w:tcW w:type="dxa" w:w="1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Leadership Relevance</w:t>
            </w:r>
          </w:p>
        </w:tc>
        <w:tc>
          <w:tcPr>
            <w:tcW w:type="dxa" w:w="20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High Score Implication</w:t>
            </w:r>
          </w:p>
        </w:tc>
        <w:tc>
          <w:tcPr>
            <w:tcW w:type="dxa" w:w="26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Low Score Implication</w:t>
            </w:r>
          </w:p>
        </w:tc>
      </w:tr>
      <w:tr>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Openness</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Intellectual curiosity, creativity, openness to new experiences</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Innovation leadership, change management, strategic thinking</w:t>
            </w:r>
          </w:p>
        </w:tc>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Creative, visionary, embraces change</w:t>
            </w:r>
          </w:p>
        </w:tc>
        <w:tc>
          <w:tcPr>
            <w:tcW w:type="dxa" w:w="26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Practical, conventional, prefers proven methods</w:t>
            </w:r>
          </w:p>
        </w:tc>
      </w:tr>
      <w:tr>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Conscientiousness</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Organisation, discipline, goal orientation, reliability</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Execution, accountability, project management, operational excellence</w:t>
            </w:r>
          </w:p>
        </w:tc>
        <w:tc>
          <w:tcPr>
            <w:tcW w:type="dxa" w:w="2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Disciplined, reliable, detail-oriented</w:t>
            </w:r>
          </w:p>
        </w:tc>
        <w:tc>
          <w:tcPr>
            <w:tcW w:type="dxa" w:w="26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Flexible, spontaneous, may struggle with follow-through</w:t>
            </w:r>
          </w:p>
        </w:tc>
      </w:tr>
      <w:tr>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Extraversion</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Sociability, assertiveness, energy, positive emotionality</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Team energising, stakeholder influence, visibility, networking</w:t>
            </w:r>
          </w:p>
        </w:tc>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Energetic, outgoing, assertive</w:t>
            </w:r>
          </w:p>
        </w:tc>
        <w:tc>
          <w:tcPr>
            <w:tcW w:type="dxa" w:w="26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Reflective, reserved, prefers depth over breadth</w:t>
            </w:r>
          </w:p>
        </w:tc>
      </w:tr>
      <w:tr>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Agreeableness</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Cooperation, trust, empathy, conflict avoidance</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Team harmony, coaching, collaboration, relationship building</w:t>
            </w:r>
          </w:p>
        </w:tc>
        <w:tc>
          <w:tcPr>
            <w:tcW w:type="dxa" w:w="2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Collaborative, trusting, supportive</w:t>
            </w:r>
          </w:p>
        </w:tc>
        <w:tc>
          <w:tcPr>
            <w:tcW w:type="dxa" w:w="26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Challenging, competitive, may prioritise results over relationships</w:t>
            </w:r>
          </w:p>
        </w:tc>
      </w:tr>
      <w:tr>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Emotional Stability</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Resilience, stress tolerance, emotional regulation</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Crisis leadership, composure under pressure, steady decision-making</w:t>
            </w:r>
          </w:p>
        </w:tc>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Calm, resilient, composed under pressure</w:t>
            </w:r>
          </w:p>
        </w:tc>
        <w:tc>
          <w:tcPr>
            <w:tcW w:type="dxa" w:w="26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Sensitive, may struggle under sustained pressure</w:t>
            </w:r>
          </w:p>
        </w:tc>
      </w:tr>
    </w:tbl>
    <w:p>
      <w:pPr>
        <w:spacing w:after="120"/>
      </w:pPr>
    </w:p>
    <w:p>
      <w:pPr>
        <w:spacing w:before="200" w:after="120"/>
      </w:pPr>
      <w:r>
        <w:rPr>
          <w:rFonts w:ascii="Arial" w:cs="Arial" w:eastAsia="Arial" w:hAnsi="Arial"/>
          <w:b/>
          <w:bCs/>
          <w:color w:val="1B3A5C"/>
          <w:sz w:val="22"/>
          <w:szCs w:val="22"/>
        </w:rPr>
        <w:t xml:space="preserve">Functional Requirements</w:t>
      </w:r>
    </w:p>
    <w:p>
      <w:pPr>
        <w:pStyle w:val="ListParagraph"/>
        <w:numPr>
          <w:ilvl w:val="0"/>
          <w:numId w:val="3"/>
        </w:numPr>
        <w:spacing w:after="80" w:line="264"/>
      </w:pPr>
      <w:r>
        <w:rPr>
          <w:rFonts w:ascii="Arial" w:cs="Arial" w:eastAsia="Arial" w:hAnsi="Arial"/>
          <w:b/>
          <w:bCs/>
          <w:color w:val="333333"/>
          <w:sz w:val="21"/>
          <w:szCs w:val="21"/>
        </w:rPr>
        <w:t xml:space="preserve">Assessment Interface: </w:t>
      </w:r>
      <w:r>
        <w:rPr>
          <w:rFonts w:ascii="Arial" w:cs="Arial" w:eastAsia="Arial" w:hAnsi="Arial"/>
          <w:color w:val="333333"/>
          <w:sz w:val="21"/>
          <w:szCs w:val="21"/>
        </w:rPr>
        <w:t xml:space="preserve">60-item questionnaire with clean, one-question-per-screen mobile-friendly design. Mix of Likert (“Strongly Disagree” to “Strongly Agree”) and forced-choice (“Which describes you better: A or B?”) items. Progress indicator. Target completion: 10–12 minutes.</w:t>
      </w:r>
    </w:p>
    <w:p>
      <w:pPr>
        <w:pStyle w:val="ListParagraph"/>
        <w:numPr>
          <w:ilvl w:val="0"/>
          <w:numId w:val="3"/>
        </w:numPr>
        <w:spacing w:after="80" w:line="264"/>
      </w:pPr>
      <w:r>
        <w:rPr>
          <w:rFonts w:ascii="Arial" w:cs="Arial" w:eastAsia="Arial" w:hAnsi="Arial"/>
          <w:b/>
          <w:bCs/>
          <w:color w:val="333333"/>
          <w:sz w:val="21"/>
          <w:szCs w:val="21"/>
        </w:rPr>
        <w:t xml:space="preserve">Scoring Engine: </w:t>
      </w:r>
      <w:r>
        <w:rPr>
          <w:rFonts w:ascii="Arial" w:cs="Arial" w:eastAsia="Arial" w:hAnsi="Arial"/>
          <w:color w:val="333333"/>
          <w:sz w:val="21"/>
          <w:szCs w:val="21"/>
        </w:rPr>
        <w:t xml:space="preserve">Automated scoring with norm-referenced percentile ranking. Raw scores converted to standardised T-scores (mean 50, SD 10). Sri Lankan normative baseline established through pilot data collection (minimum 200 respondents across industries).</w:t>
      </w:r>
    </w:p>
    <w:p>
      <w:pPr>
        <w:pStyle w:val="ListParagraph"/>
        <w:numPr>
          <w:ilvl w:val="0"/>
          <w:numId w:val="3"/>
        </w:numPr>
        <w:spacing w:after="80" w:line="264"/>
      </w:pPr>
      <w:r>
        <w:rPr>
          <w:rFonts w:ascii="Arial" w:cs="Arial" w:eastAsia="Arial" w:hAnsi="Arial"/>
          <w:b/>
          <w:bCs/>
          <w:color w:val="333333"/>
          <w:sz w:val="21"/>
          <w:szCs w:val="21"/>
        </w:rPr>
        <w:t xml:space="preserve">Personality Profile Report: </w:t>
      </w:r>
      <w:r>
        <w:rPr>
          <w:rFonts w:ascii="Arial" w:cs="Arial" w:eastAsia="Arial" w:hAnsi="Arial"/>
          <w:color w:val="333333"/>
          <w:sz w:val="21"/>
          <w:szCs w:val="21"/>
        </w:rPr>
        <w:t xml:space="preserve">Individual Personality Profile Report (PDF, 6–8 pages) containing: visual profile showing the five factor scores on a spectrum; narrative description of the participant’s personality style in leadership context (auto-generated from score combinations); leadership strengths arising from the personality profile; potential blind spots and development areas; communication style preferences; stress response patterns; team role tendencies.</w:t>
      </w:r>
    </w:p>
    <w:p>
      <w:pPr>
        <w:pStyle w:val="ListParagraph"/>
        <w:numPr>
          <w:ilvl w:val="0"/>
          <w:numId w:val="3"/>
        </w:numPr>
        <w:spacing w:after="80" w:line="264"/>
      </w:pPr>
      <w:r>
        <w:rPr>
          <w:rFonts w:ascii="Arial" w:cs="Arial" w:eastAsia="Arial" w:hAnsi="Arial"/>
          <w:b/>
          <w:bCs/>
          <w:color w:val="333333"/>
          <w:sz w:val="21"/>
          <w:szCs w:val="21"/>
        </w:rPr>
        <w:t xml:space="preserve">Team View (Optional): </w:t>
      </w:r>
      <w:r>
        <w:rPr>
          <w:rFonts w:ascii="Arial" w:cs="Arial" w:eastAsia="Arial" w:hAnsi="Arial"/>
          <w:color w:val="333333"/>
          <w:sz w:val="21"/>
          <w:szCs w:val="21"/>
        </w:rPr>
        <w:t xml:space="preserve">When multiple team members complete the profile, generate a Team Personality Map showing the distribution of styles, potential team strengths, and gaps.</w:t>
      </w:r>
    </w:p>
    <w:p>
      <w:r>
        <w:br w:type="page"/>
      </w:r>
    </w:p>
    <w:p>
      <w:pPr>
        <w:pStyle w:val="Heading2"/>
        <w:spacing w:before="280" w:after="160"/>
      </w:pPr>
      <w:r>
        <w:rPr>
          <w:rFonts w:ascii="Arial" w:cs="Arial" w:eastAsia="Arial" w:hAnsi="Arial"/>
          <w:b/>
          <w:bCs/>
          <w:color w:val="2E75B6"/>
          <w:sz w:val="26"/>
          <w:szCs w:val="26"/>
        </w:rPr>
        <w:t xml:space="preserve">2.4 UC4: Leadership Readiness / Potential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FF3E0" w:val="clear"/>
            <w:tcMar>
              <w:top w:type="dxa" w:w="120"/>
              <w:left w:type="dxa" w:w="200"/>
              <w:bottom w:type="dxa" w:w="120"/>
              <w:right w:type="dxa" w:w="200"/>
            </w:tcMar>
            <w:vAlign w:val="center"/>
          </w:tcPr>
          <w:p>
            <w:pPr>
              <w:spacing w:after="40"/>
            </w:pPr>
            <w:r>
              <w:rPr>
                <w:rFonts w:ascii="Arial" w:cs="Arial" w:eastAsia="Arial" w:hAnsi="Arial"/>
                <w:b/>
                <w:bCs/>
                <w:color w:val="E8913A"/>
                <w:sz w:val="21"/>
                <w:szCs w:val="21"/>
              </w:rPr>
              <w:t xml:space="preserve">PRIORITY: MEDIUM-HIGH — The key differentiator for succession planning engagements.</w:t>
            </w:r>
          </w:p>
        </w:tc>
      </w:tr>
    </w:tbl>
    <w:p>
      <w:pPr>
        <w:spacing w:after="80"/>
      </w:pPr>
    </w:p>
    <w:p>
      <w:pPr>
        <w:spacing w:before="200" w:after="120"/>
      </w:pPr>
      <w:r>
        <w:rPr>
          <w:rFonts w:ascii="Arial" w:cs="Arial" w:eastAsia="Arial" w:hAnsi="Arial"/>
          <w:b/>
          <w:bCs/>
          <w:color w:val="1B3A5C"/>
          <w:sz w:val="22"/>
          <w:szCs w:val="22"/>
        </w:rPr>
        <w:t xml:space="preserve">What The Client Experiences</w:t>
      </w:r>
    </w:p>
    <w:p>
      <w:pPr>
        <w:spacing w:after="160" w:line="276"/>
        <w:jc w:val="both"/>
      </w:pPr>
      <w:r>
        <w:rPr>
          <w:rFonts w:ascii="Arial" w:cs="Arial" w:eastAsia="Arial" w:hAnsi="Arial"/>
          <w:color w:val="333333"/>
          <w:sz w:val="21"/>
          <w:szCs w:val="21"/>
        </w:rPr>
        <w:t xml:space="preserve">The client is running a succession planning exercise or high-potential identification programme. They need to evaluate a group of candidates against readiness criteria for specific target roles (e.g., “Ready for Department Head,” “Ready for C-Suite in 2–3 years”). This assessment combines data from the other three use cases with a dedicated readiness instrument.</w:t>
      </w:r>
    </w:p>
    <w:p>
      <w:pPr>
        <w:spacing w:before="200" w:after="120"/>
      </w:pPr>
      <w:r>
        <w:rPr>
          <w:rFonts w:ascii="Arial" w:cs="Arial" w:eastAsia="Arial" w:hAnsi="Arial"/>
          <w:b/>
          <w:bCs/>
          <w:color w:val="1B3A5C"/>
          <w:sz w:val="22"/>
          <w:szCs w:val="22"/>
        </w:rPr>
        <w:t xml:space="preserve">Assessment Components</w:t>
      </w:r>
    </w:p>
    <w:p>
      <w:pPr>
        <w:spacing w:after="160" w:line="276"/>
        <w:jc w:val="both"/>
      </w:pPr>
      <w:r>
        <w:rPr>
          <w:rFonts w:ascii="Arial" w:cs="Arial" w:eastAsia="Arial" w:hAnsi="Arial"/>
          <w:color w:val="333333"/>
          <w:sz w:val="21"/>
          <w:szCs w:val="21"/>
        </w:rPr>
        <w:t xml:space="preserve">Leadership Readiness is a composite assessment that draws on:</w:t>
      </w:r>
    </w:p>
    <w:p>
      <w:pPr>
        <w:pStyle w:val="ListParagraph"/>
        <w:numPr>
          <w:ilvl w:val="0"/>
          <w:numId w:val="3"/>
        </w:numPr>
        <w:spacing w:after="80" w:line="264"/>
      </w:pPr>
      <w:r>
        <w:rPr>
          <w:rFonts w:ascii="Arial" w:cs="Arial" w:eastAsia="Arial" w:hAnsi="Arial"/>
          <w:b/>
          <w:bCs/>
          <w:color w:val="333333"/>
          <w:sz w:val="21"/>
          <w:szCs w:val="21"/>
        </w:rPr>
        <w:t xml:space="preserve">Competency Readiness Score: </w:t>
      </w:r>
      <w:r>
        <w:rPr>
          <w:rFonts w:ascii="Arial" w:cs="Arial" w:eastAsia="Arial" w:hAnsi="Arial"/>
          <w:color w:val="333333"/>
          <w:sz w:val="21"/>
          <w:szCs w:val="21"/>
        </w:rPr>
        <w:t xml:space="preserve">Drawn from UC2 (Competency Assessment). Compares participant’s competency profile against the target role’s competency requirements.</w:t>
      </w:r>
    </w:p>
    <w:p>
      <w:pPr>
        <w:pStyle w:val="ListParagraph"/>
        <w:numPr>
          <w:ilvl w:val="0"/>
          <w:numId w:val="3"/>
        </w:numPr>
        <w:spacing w:after="80" w:line="264"/>
      </w:pPr>
      <w:r>
        <w:rPr>
          <w:rFonts w:ascii="Arial" w:cs="Arial" w:eastAsia="Arial" w:hAnsi="Arial"/>
          <w:b/>
          <w:bCs/>
          <w:color w:val="333333"/>
          <w:sz w:val="21"/>
          <w:szCs w:val="21"/>
        </w:rPr>
        <w:t xml:space="preserve">360 Feedback Effectiveness Score: </w:t>
      </w:r>
      <w:r>
        <w:rPr>
          <w:rFonts w:ascii="Arial" w:cs="Arial" w:eastAsia="Arial" w:hAnsi="Arial"/>
          <w:color w:val="333333"/>
          <w:sz w:val="21"/>
          <w:szCs w:val="21"/>
        </w:rPr>
        <w:t xml:space="preserve">Drawn from UC1 (360 Feedback) if available. Indicates how the leader is currently perceived by stakeholders.</w:t>
      </w:r>
    </w:p>
    <w:p>
      <w:pPr>
        <w:pStyle w:val="ListParagraph"/>
        <w:numPr>
          <w:ilvl w:val="0"/>
          <w:numId w:val="3"/>
        </w:numPr>
        <w:spacing w:after="80" w:line="264"/>
      </w:pPr>
      <w:r>
        <w:rPr>
          <w:rFonts w:ascii="Arial" w:cs="Arial" w:eastAsia="Arial" w:hAnsi="Arial"/>
          <w:b/>
          <w:bCs/>
          <w:color w:val="333333"/>
          <w:sz w:val="21"/>
          <w:szCs w:val="21"/>
        </w:rPr>
        <w:t xml:space="preserve">Personality Fit Indicators: </w:t>
      </w:r>
      <w:r>
        <w:rPr>
          <w:rFonts w:ascii="Arial" w:cs="Arial" w:eastAsia="Arial" w:hAnsi="Arial"/>
          <w:color w:val="333333"/>
          <w:sz w:val="21"/>
          <w:szCs w:val="21"/>
        </w:rPr>
        <w:t xml:space="preserve">Drawn from UC3 (Personality Profile). Highlights personality factors that align or misalign with the target role demands.</w:t>
      </w:r>
    </w:p>
    <w:p>
      <w:pPr>
        <w:pStyle w:val="ListParagraph"/>
        <w:numPr>
          <w:ilvl w:val="0"/>
          <w:numId w:val="3"/>
        </w:numPr>
        <w:spacing w:after="80" w:line="264"/>
      </w:pPr>
      <w:r>
        <w:rPr>
          <w:rFonts w:ascii="Arial" w:cs="Arial" w:eastAsia="Arial" w:hAnsi="Arial"/>
          <w:b/>
          <w:bCs/>
          <w:color w:val="333333"/>
          <w:sz w:val="21"/>
          <w:szCs w:val="21"/>
        </w:rPr>
        <w:t xml:space="preserve">Situational Judgement Test (SJT): </w:t>
      </w:r>
      <w:r>
        <w:rPr>
          <w:rFonts w:ascii="Arial" w:cs="Arial" w:eastAsia="Arial" w:hAnsi="Arial"/>
          <w:color w:val="333333"/>
          <w:sz w:val="21"/>
          <w:szCs w:val="21"/>
        </w:rPr>
        <w:t xml:space="preserve">A standalone 15–20 scenario instrument that presents leadership situations appropriate to the target level and asks the participant to evaluate response options. Scenarios are contextualised for Sri Lankan industries. Scored against expert-validated response keys.</w:t>
      </w:r>
    </w:p>
    <w:p>
      <w:pPr>
        <w:pStyle w:val="ListParagraph"/>
        <w:numPr>
          <w:ilvl w:val="0"/>
          <w:numId w:val="3"/>
        </w:numPr>
        <w:spacing w:after="80" w:line="264"/>
      </w:pPr>
      <w:r>
        <w:rPr>
          <w:rFonts w:ascii="Arial" w:cs="Arial" w:eastAsia="Arial" w:hAnsi="Arial"/>
          <w:b/>
          <w:bCs/>
          <w:color w:val="333333"/>
          <w:sz w:val="21"/>
          <w:szCs w:val="21"/>
        </w:rPr>
        <w:t xml:space="preserve">Learning Agility Self-Assessment: </w:t>
      </w:r>
      <w:r>
        <w:rPr>
          <w:rFonts w:ascii="Arial" w:cs="Arial" w:eastAsia="Arial" w:hAnsi="Arial"/>
          <w:color w:val="333333"/>
          <w:sz w:val="21"/>
          <w:szCs w:val="21"/>
        </w:rPr>
        <w:t xml:space="preserve">A short 15-item instrument measuring five dimensions of learning agility: Mental Agility (curiosity, complexity tolerance), People Agility (self-awareness, interpersonal skill), Change Agility (experimentation, resilience), Results Agility (resourcefulness, drive), Self-Awareness (reflective capacity, feedback receptiveness).</w:t>
      </w:r>
    </w:p>
    <w:p>
      <w:pPr>
        <w:spacing w:before="200" w:after="120"/>
      </w:pPr>
      <w:r>
        <w:rPr>
          <w:rFonts w:ascii="Arial" w:cs="Arial" w:eastAsia="Arial" w:hAnsi="Arial"/>
          <w:b/>
          <w:bCs/>
          <w:color w:val="1B3A5C"/>
          <w:sz w:val="22"/>
          <w:szCs w:val="22"/>
        </w:rPr>
        <w:t xml:space="preserve">Readiness Report</w:t>
      </w:r>
    </w:p>
    <w:p>
      <w:pPr>
        <w:spacing w:after="160" w:line="276"/>
        <w:jc w:val="both"/>
      </w:pPr>
      <w:r>
        <w:rPr>
          <w:rFonts w:ascii="Arial" w:cs="Arial" w:eastAsia="Arial" w:hAnsi="Arial"/>
          <w:color w:val="333333"/>
          <w:sz w:val="21"/>
          <w:szCs w:val="21"/>
        </w:rPr>
        <w:t xml:space="preserve">The Leadership Readiness Report (PDF, 10–14 pages) is the flagship output and includes:</w:t>
      </w:r>
    </w:p>
    <w:p>
      <w:pPr>
        <w:pStyle w:val="ListParagraph"/>
        <w:numPr>
          <w:ilvl w:val="0"/>
          <w:numId w:val="2"/>
        </w:numPr>
        <w:spacing w:after="80" w:line="264"/>
      </w:pPr>
      <w:r>
        <w:rPr>
          <w:rFonts w:ascii="Arial" w:cs="Arial" w:eastAsia="Arial" w:hAnsi="Arial"/>
          <w:color w:val="333333"/>
          <w:sz w:val="21"/>
          <w:szCs w:val="21"/>
        </w:rPr>
        <w:t xml:space="preserve">Overall Readiness Rating: Ready Now / Ready in 1–2 Years / Developing / Not Yet Ready</w:t>
      </w:r>
    </w:p>
    <w:p>
      <w:pPr>
        <w:pStyle w:val="ListParagraph"/>
        <w:numPr>
          <w:ilvl w:val="0"/>
          <w:numId w:val="2"/>
        </w:numPr>
        <w:spacing w:after="80" w:line="264"/>
      </w:pPr>
      <w:r>
        <w:rPr>
          <w:rFonts w:ascii="Arial" w:cs="Arial" w:eastAsia="Arial" w:hAnsi="Arial"/>
          <w:color w:val="333333"/>
          <w:sz w:val="21"/>
          <w:szCs w:val="21"/>
        </w:rPr>
        <w:t xml:space="preserve">Readiness heat map across competency domains vs. target role requirements</w:t>
      </w:r>
    </w:p>
    <w:p>
      <w:pPr>
        <w:pStyle w:val="ListParagraph"/>
        <w:numPr>
          <w:ilvl w:val="0"/>
          <w:numId w:val="2"/>
        </w:numPr>
        <w:spacing w:after="80" w:line="264"/>
      </w:pPr>
      <w:r>
        <w:rPr>
          <w:rFonts w:ascii="Arial" w:cs="Arial" w:eastAsia="Arial" w:hAnsi="Arial"/>
          <w:color w:val="333333"/>
          <w:sz w:val="21"/>
          <w:szCs w:val="21"/>
        </w:rPr>
        <w:t xml:space="preserve">Composite scores from all contributing assessments with source attribution</w:t>
      </w:r>
    </w:p>
    <w:p>
      <w:pPr>
        <w:pStyle w:val="ListParagraph"/>
        <w:numPr>
          <w:ilvl w:val="0"/>
          <w:numId w:val="2"/>
        </w:numPr>
        <w:spacing w:after="80" w:line="264"/>
      </w:pPr>
      <w:r>
        <w:rPr>
          <w:rFonts w:ascii="Arial" w:cs="Arial" w:eastAsia="Arial" w:hAnsi="Arial"/>
          <w:color w:val="333333"/>
          <w:sz w:val="21"/>
          <w:szCs w:val="21"/>
        </w:rPr>
        <w:t xml:space="preserve">SJT performance analysis: strongest and weakest scenario categories</w:t>
      </w:r>
    </w:p>
    <w:p>
      <w:pPr>
        <w:pStyle w:val="ListParagraph"/>
        <w:numPr>
          <w:ilvl w:val="0"/>
          <w:numId w:val="2"/>
        </w:numPr>
        <w:spacing w:after="80" w:line="264"/>
      </w:pPr>
      <w:r>
        <w:rPr>
          <w:rFonts w:ascii="Arial" w:cs="Arial" w:eastAsia="Arial" w:hAnsi="Arial"/>
          <w:color w:val="333333"/>
          <w:sz w:val="21"/>
          <w:szCs w:val="21"/>
        </w:rPr>
        <w:t xml:space="preserve">Learning agility profile with dimension scores</w:t>
      </w:r>
    </w:p>
    <w:p>
      <w:pPr>
        <w:pStyle w:val="ListParagraph"/>
        <w:numPr>
          <w:ilvl w:val="0"/>
          <w:numId w:val="2"/>
        </w:numPr>
        <w:spacing w:after="80" w:line="264"/>
      </w:pPr>
      <w:r>
        <w:rPr>
          <w:rFonts w:ascii="Arial" w:cs="Arial" w:eastAsia="Arial" w:hAnsi="Arial"/>
          <w:color w:val="333333"/>
          <w:sz w:val="21"/>
          <w:szCs w:val="21"/>
        </w:rPr>
        <w:t xml:space="preserve">Integrated development plan with prioritised actions linked to specific readiness gaps</w:t>
      </w:r>
    </w:p>
    <w:p>
      <w:pPr>
        <w:pStyle w:val="ListParagraph"/>
        <w:numPr>
          <w:ilvl w:val="0"/>
          <w:numId w:val="2"/>
        </w:numPr>
        <w:spacing w:after="80" w:line="264"/>
      </w:pPr>
      <w:r>
        <w:rPr>
          <w:rFonts w:ascii="Arial" w:cs="Arial" w:eastAsia="Arial" w:hAnsi="Arial"/>
          <w:color w:val="333333"/>
          <w:sz w:val="21"/>
          <w:szCs w:val="21"/>
        </w:rPr>
        <w:t xml:space="preserve">9-Box Grid positioning (Performance vs. Potential) when organisational performance data is available</w:t>
      </w:r>
    </w:p>
    <w:p>
      <w:pPr>
        <w:spacing w:before="200" w:after="120"/>
      </w:pPr>
      <w:r>
        <w:rPr>
          <w:rFonts w:ascii="Arial" w:cs="Arial" w:eastAsia="Arial" w:hAnsi="Arial"/>
          <w:b/>
          <w:bCs/>
          <w:color w:val="1B3A5C"/>
          <w:sz w:val="22"/>
          <w:szCs w:val="22"/>
        </w:rPr>
        <w:t xml:space="preserve">Organisational Succession Dashboard</w:t>
      </w:r>
    </w:p>
    <w:p>
      <w:pPr>
        <w:spacing w:after="160" w:line="276"/>
        <w:jc w:val="both"/>
      </w:pPr>
      <w:r>
        <w:rPr>
          <w:rFonts w:ascii="Arial" w:cs="Arial" w:eastAsia="Arial" w:hAnsi="Arial"/>
          <w:color w:val="333333"/>
          <w:sz w:val="21"/>
          <w:szCs w:val="21"/>
        </w:rPr>
        <w:t xml:space="preserve">The admin view provides a succession planning dashboard showing:</w:t>
      </w:r>
    </w:p>
    <w:p>
      <w:pPr>
        <w:pStyle w:val="ListParagraph"/>
        <w:numPr>
          <w:ilvl w:val="0"/>
          <w:numId w:val="2"/>
        </w:numPr>
        <w:spacing w:after="80" w:line="264"/>
      </w:pPr>
      <w:r>
        <w:rPr>
          <w:rFonts w:ascii="Arial" w:cs="Arial" w:eastAsia="Arial" w:hAnsi="Arial"/>
          <w:color w:val="333333"/>
          <w:sz w:val="21"/>
          <w:szCs w:val="21"/>
        </w:rPr>
        <w:t xml:space="preserve">All assessed candidates plotted on a readiness matrix</w:t>
      </w:r>
    </w:p>
    <w:p>
      <w:pPr>
        <w:pStyle w:val="ListParagraph"/>
        <w:numPr>
          <w:ilvl w:val="0"/>
          <w:numId w:val="2"/>
        </w:numPr>
        <w:spacing w:after="80" w:line="264"/>
      </w:pPr>
      <w:r>
        <w:rPr>
          <w:rFonts w:ascii="Arial" w:cs="Arial" w:eastAsia="Arial" w:hAnsi="Arial"/>
          <w:color w:val="333333"/>
          <w:sz w:val="21"/>
          <w:szCs w:val="21"/>
        </w:rPr>
        <w:t xml:space="preserve">Talent pool depth per target role (e.g., “3 candidates Ready Now for CFO, 2 Ready in 1–2 Years”)</w:t>
      </w:r>
    </w:p>
    <w:p>
      <w:pPr>
        <w:pStyle w:val="ListParagraph"/>
        <w:numPr>
          <w:ilvl w:val="0"/>
          <w:numId w:val="2"/>
        </w:numPr>
        <w:spacing w:after="80" w:line="264"/>
      </w:pPr>
      <w:r>
        <w:rPr>
          <w:rFonts w:ascii="Arial" w:cs="Arial" w:eastAsia="Arial" w:hAnsi="Arial"/>
          <w:color w:val="333333"/>
          <w:sz w:val="21"/>
          <w:szCs w:val="21"/>
        </w:rPr>
        <w:t xml:space="preserve">Critical role coverage and risk indicators</w:t>
      </w:r>
    </w:p>
    <w:p>
      <w:pPr>
        <w:pStyle w:val="ListParagraph"/>
        <w:numPr>
          <w:ilvl w:val="0"/>
          <w:numId w:val="2"/>
        </w:numPr>
        <w:spacing w:after="80" w:line="264"/>
      </w:pPr>
      <w:r>
        <w:rPr>
          <w:rFonts w:ascii="Arial" w:cs="Arial" w:eastAsia="Arial" w:hAnsi="Arial"/>
          <w:color w:val="333333"/>
          <w:sz w:val="21"/>
          <w:szCs w:val="21"/>
        </w:rPr>
        <w:t xml:space="preserve">Cohort-level competency gaps informing L&amp;D investment priorities</w:t>
      </w:r>
    </w:p>
    <w:p>
      <w:r>
        <w:br w:type="page"/>
      </w:r>
    </w:p>
    <w:p>
      <w:pPr>
        <w:pStyle w:val="Heading1"/>
        <w:spacing w:before="360" w:after="200"/>
      </w:pPr>
      <w:r>
        <w:rPr>
          <w:rFonts w:ascii="Arial" w:cs="Arial" w:eastAsia="Arial" w:hAnsi="Arial"/>
          <w:b/>
          <w:bCs/>
          <w:color w:val="1B3A5C"/>
          <w:sz w:val="32"/>
          <w:szCs w:val="32"/>
        </w:rPr>
        <w:t xml:space="preserve">3. MVP Technical Architecture</w:t>
      </w:r>
    </w:p>
    <w:p>
      <w:pPr>
        <w:pBdr>
          <w:bottom w:val="single" w:color="2E75B6" w:sz="3" w:space="1"/>
        </w:pBdr>
        <w:spacing w:before="200" w:after="200"/>
      </w:pPr>
    </w:p>
    <w:p>
      <w:pPr>
        <w:spacing w:after="160" w:line="276"/>
        <w:jc w:val="both"/>
      </w:pPr>
      <w:r>
        <w:rPr>
          <w:rFonts w:ascii="Arial" w:cs="Arial" w:eastAsia="Arial" w:hAnsi="Arial"/>
          <w:color w:val="333333"/>
          <w:sz w:val="21"/>
          <w:szCs w:val="21"/>
        </w:rPr>
        <w:t xml:space="preserve">The MVP architecture prioritises speed-to-market, maintainability, and scalability to production. It avoids over-engineering while establishing patterns that support future module expansion.</w:t>
      </w:r>
    </w:p>
    <w:p>
      <w:pPr>
        <w:pStyle w:val="Heading2"/>
        <w:spacing w:before="280" w:after="160"/>
      </w:pPr>
      <w:r>
        <w:rPr>
          <w:rFonts w:ascii="Arial" w:cs="Arial" w:eastAsia="Arial" w:hAnsi="Arial"/>
          <w:b/>
          <w:bCs/>
          <w:color w:val="2E75B6"/>
          <w:sz w:val="26"/>
          <w:szCs w:val="26"/>
        </w:rPr>
        <w:t xml:space="preserve">3.1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c>
          <w:tcPr>
            <w:tcW w:type="dxa" w:w="1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Layer</w:t>
            </w:r>
          </w:p>
        </w:tc>
        <w:tc>
          <w:tcPr>
            <w:tcW w:type="dxa" w:w="2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Technology</w:t>
            </w:r>
          </w:p>
        </w:tc>
        <w:tc>
          <w:tcPr>
            <w:tcW w:type="dxa" w:w="48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Rationale</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Frontend</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React 18 + TypeScript + Tailwind CSS</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Fast development with Claude Code; strong component reusability; excellent mobile responsiveness; large ecosystem</w:t>
            </w:r>
          </w:p>
        </w:tc>
      </w:tr>
      <w:tr>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Backend API</w:t>
            </w:r>
          </w:p>
        </w:tc>
        <w:tc>
          <w:tcPr>
            <w:tcW w:type="dxa" w:w="2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Node.js (NestJS) + TypeScript</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Same language as frontend (hiring efficiency); NestJS provides enterprise-grade structure; excellent Claude Code generation support</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Database</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PostgreSQL 16</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Battle-tested relational DB; strong JSON support for flexible assessment responses; excellent for multi-tenant data isolation</w:t>
            </w:r>
          </w:p>
        </w:tc>
      </w:tr>
      <w:tr>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Cache</w:t>
            </w:r>
          </w:p>
        </w:tc>
        <w:tc>
          <w:tcPr>
            <w:tcW w:type="dxa" w:w="2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Redis</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Session management, rate limiting, assessment response caching during completion</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File Storage</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AWS S3 (or compatible)</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PDF report storage, CSV imports, assessment media</w:t>
            </w:r>
          </w:p>
        </w:tc>
      </w:tr>
      <w:tr>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Email</w:t>
            </w:r>
          </w:p>
        </w:tc>
        <w:tc>
          <w:tcPr>
            <w:tcW w:type="dxa" w:w="2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SendGrid (or AWS SES)</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Transactional emails: invitations, reminders, report delivery</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PDF Generation</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Puppeteer (Chromium headless)</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HTML-to-PDF for report generation; full control over report design and layout</w:t>
            </w:r>
          </w:p>
        </w:tc>
      </w:tr>
      <w:tr>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Authentication</w:t>
            </w:r>
          </w:p>
        </w:tc>
        <w:tc>
          <w:tcPr>
            <w:tcW w:type="dxa" w:w="2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JWT + Passport.js (local + Google OAuth)</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Simple, proven auth; extensible to SSO/SAML later</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Hosting</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AWS (Mumbai region) or DigitalOcean</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Cost-effective; Sri Lanka-proximate; PDPA-compatible data residency</w:t>
            </w:r>
          </w:p>
        </w:tc>
      </w:tr>
      <w:tr>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CI/CD</w:t>
            </w:r>
          </w:p>
        </w:tc>
        <w:tc>
          <w:tcPr>
            <w:tcW w:type="dxa" w:w="2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GitHub Actions</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Free for small teams; simple YAML configuration; Claude Code generates pipeline configs</w:t>
            </w:r>
          </w:p>
        </w:tc>
      </w:tr>
      <w:tr>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Monitoring</w:t>
            </w:r>
          </w:p>
        </w:tc>
        <w:tc>
          <w:tcPr>
            <w:tcW w:type="dxa" w:w="2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Uptime Robot + Sentry (errors)</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Minimal cost; catches critical issues; production-ready from Day 1</w:t>
            </w:r>
          </w:p>
        </w:tc>
      </w:tr>
    </w:tbl>
    <w:p>
      <w:pPr>
        <w:spacing w:after="120"/>
      </w:pPr>
    </w:p>
    <w:p>
      <w:pPr>
        <w:pStyle w:val="Heading2"/>
        <w:spacing w:before="280" w:after="160"/>
      </w:pPr>
      <w:r>
        <w:rPr>
          <w:rFonts w:ascii="Arial" w:cs="Arial" w:eastAsia="Arial" w:hAnsi="Arial"/>
          <w:b/>
          <w:bCs/>
          <w:color w:val="2E75B6"/>
          <w:sz w:val="26"/>
          <w:szCs w:val="26"/>
        </w:rPr>
        <w:t xml:space="preserve">3.2 Application Architecture</w:t>
      </w:r>
    </w:p>
    <w:p>
      <w:pPr>
        <w:spacing w:after="160" w:line="276"/>
        <w:jc w:val="both"/>
      </w:pPr>
      <w:r>
        <w:rPr>
          <w:rFonts w:ascii="Arial" w:cs="Arial" w:eastAsia="Arial" w:hAnsi="Arial"/>
          <w:color w:val="333333"/>
          <w:sz w:val="21"/>
          <w:szCs w:val="21"/>
        </w:rPr>
        <w:t xml:space="preserve">The MVP uses a modular monolith pattern (not microservices). This is a deliberate decision — a modular monolith gives you the organisational benefits of microservices (clear module boundaries, independent development) without the operational complexity (service mesh, distributed tracing, eventual consistency) that would slow down a 3–4 person team.</w:t>
      </w:r>
    </w:p>
    <w:p>
      <w:pPr>
        <w:spacing w:before="200" w:after="120"/>
      </w:pPr>
      <w:r>
        <w:rPr>
          <w:rFonts w:ascii="Arial" w:cs="Arial" w:eastAsia="Arial" w:hAnsi="Arial"/>
          <w:b/>
          <w:bCs/>
          <w:color w:val="1B3A5C"/>
          <w:sz w:val="22"/>
          <w:szCs w:val="22"/>
        </w:rPr>
        <w:t xml:space="preserve">Module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c>
          <w:tcPr>
            <w:tcW w:type="dxa" w:w="1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Module</w:t>
            </w:r>
          </w:p>
        </w:tc>
        <w:tc>
          <w:tcPr>
            <w:tcW w:type="dxa" w:w="3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Responsibilities</w:t>
            </w:r>
          </w:p>
        </w:tc>
        <w:tc>
          <w:tcPr>
            <w:tcW w:type="dxa" w:w="40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 Database Tables</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core/auth</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Authentication, JWT, password reset, session management</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users, sessions, password_resets</w:t>
            </w:r>
          </w:p>
        </w:tc>
      </w:tr>
      <w:tr>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core/org</w:t>
            </w:r>
          </w:p>
        </w:tc>
        <w:tc>
          <w:tcPr>
            <w:tcW w:type="dxa" w:w="3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Organisation management, departments, role hierarchy</w:t>
            </w:r>
          </w:p>
        </w:tc>
        <w:tc>
          <w:tcPr>
            <w:tcW w:type="dxa" w:w="4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organisations, departments, org_users, roles</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core/notification</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Email sending, SMS, in-app notifications, reminder scheduling</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notifications, email_templates, reminder_schedules</w:t>
            </w:r>
          </w:p>
        </w:tc>
      </w:tr>
      <w:tr>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assessment/engine</w:t>
            </w:r>
          </w:p>
        </w:tc>
        <w:tc>
          <w:tcPr>
            <w:tcW w:type="dxa" w:w="3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 lifecycle: create, configure, distribute, collect, close</w:t>
            </w:r>
          </w:p>
        </w:tc>
        <w:tc>
          <w:tcPr>
            <w:tcW w:type="dxa" w:w="4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assessments, assessment_configs, assessment_instances, invitations</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assessment/items</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Item bank management, competency library, question storage</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competencies, competency_levels, items, item_banks, rating_scales</w:t>
            </w:r>
          </w:p>
        </w:tc>
      </w:tr>
      <w:tr>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assessment/360</w:t>
            </w:r>
          </w:p>
        </w:tc>
        <w:tc>
          <w:tcPr>
            <w:tcW w:type="dxa" w:w="3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360-specific logic: rater management, anonymity, perspective aggregation</w:t>
            </w:r>
          </w:p>
        </w:tc>
        <w:tc>
          <w:tcPr>
            <w:tcW w:type="dxa" w:w="4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rater_nominations, rater_responses, perspective_groups, anonymity_config</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assessment/competency</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assessment: self/manager rating, gap analysis</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competency_assessments, self_ratings, manager_ratings, role_profiles</w:t>
            </w:r>
          </w:p>
        </w:tc>
      </w:tr>
      <w:tr>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assessment/personality</w:t>
            </w:r>
          </w:p>
        </w:tc>
        <w:tc>
          <w:tcPr>
            <w:tcW w:type="dxa" w:w="3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Big Five instrument, scoring, T-score calculation, norm referencing</w:t>
            </w:r>
          </w:p>
        </w:tc>
        <w:tc>
          <w:tcPr>
            <w:tcW w:type="dxa" w:w="4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personality_responses, personality_scores, normative_data</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assessment/readiness</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SJT engine, learning agility, composite readiness scoring, 9-box</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sjt_scenarios, sjt_responses, readiness_scores, succession_candidates</w:t>
            </w:r>
          </w:p>
        </w:tc>
      </w:tr>
      <w:tr>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reporting</w:t>
            </w:r>
          </w:p>
        </w:tc>
        <w:tc>
          <w:tcPr>
            <w:tcW w:type="dxa" w:w="3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 generation, PDF rendering, chart generation, data export</w:t>
            </w:r>
          </w:p>
        </w:tc>
        <w:tc>
          <w:tcPr>
            <w:tcW w:type="dxa" w:w="4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reports, report_templates, generated_reports</w:t>
            </w:r>
          </w:p>
        </w:tc>
      </w:tr>
      <w:tr>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analytics</w:t>
            </w:r>
          </w:p>
        </w:tc>
        <w:tc>
          <w:tcPr>
            <w:tcW w:type="dxa" w:w="3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Dashboard data, aggregation queries, heat maps, org-level views</w:t>
            </w:r>
          </w:p>
        </w:tc>
        <w:tc>
          <w:tcPr>
            <w:tcW w:type="dxa" w:w="4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analytics_cache, dashboard_configs</w:t>
            </w:r>
          </w:p>
        </w:tc>
      </w:tr>
    </w:tbl>
    <w:p>
      <w:r>
        <w:br w:type="page"/>
      </w:r>
    </w:p>
    <w:p>
      <w:pPr>
        <w:pStyle w:val="Heading2"/>
        <w:spacing w:before="280" w:after="160"/>
      </w:pPr>
      <w:r>
        <w:rPr>
          <w:rFonts w:ascii="Arial" w:cs="Arial" w:eastAsia="Arial" w:hAnsi="Arial"/>
          <w:b/>
          <w:bCs/>
          <w:color w:val="2E75B6"/>
          <w:sz w:val="26"/>
          <w:szCs w:val="26"/>
        </w:rPr>
        <w:t xml:space="preserve">3.3 Data Model (Simplified ERD)</w:t>
      </w:r>
    </w:p>
    <w:p>
      <w:pPr>
        <w:spacing w:after="160" w:line="276"/>
        <w:jc w:val="both"/>
      </w:pPr>
      <w:r>
        <w:rPr>
          <w:rFonts w:ascii="Arial" w:cs="Arial" w:eastAsia="Arial" w:hAnsi="Arial"/>
          <w:color w:val="333333"/>
          <w:sz w:val="21"/>
          <w:szCs w:val="21"/>
        </w:rPr>
        <w:t xml:space="preserve">The core data model centres on a flexible assessment response system that supports all four use cases through a common structure:</w:t>
      </w:r>
    </w:p>
    <w:p>
      <w:pPr>
        <w:spacing w:before="200" w:after="120"/>
      </w:pPr>
      <w:r>
        <w:rPr>
          <w:rFonts w:ascii="Arial" w:cs="Arial" w:eastAsia="Arial" w:hAnsi="Arial"/>
          <w:b/>
          <w:bCs/>
          <w:color w:val="1B3A5C"/>
          <w:sz w:val="22"/>
          <w:szCs w:val="22"/>
        </w:rPr>
        <w:t xml:space="preserve">Core Entities</w:t>
      </w:r>
    </w:p>
    <w:p>
      <w:pPr>
        <w:pStyle w:val="ListParagraph"/>
        <w:numPr>
          <w:ilvl w:val="0"/>
          <w:numId w:val="2"/>
        </w:numPr>
        <w:spacing w:after="80" w:line="264"/>
      </w:pPr>
      <w:r>
        <w:rPr>
          <w:rFonts w:ascii="Arial" w:cs="Arial" w:eastAsia="Arial" w:hAnsi="Arial"/>
          <w:b/>
          <w:bCs/>
          <w:color w:val="333333"/>
          <w:sz w:val="21"/>
          <w:szCs w:val="21"/>
        </w:rPr>
        <w:t xml:space="preserve">Organisation: </w:t>
      </w:r>
      <w:r>
        <w:rPr>
          <w:rFonts w:ascii="Arial" w:cs="Arial" w:eastAsia="Arial" w:hAnsi="Arial"/>
          <w:color w:val="333333"/>
          <w:sz w:val="21"/>
          <w:szCs w:val="21"/>
        </w:rPr>
        <w:t xml:space="preserve">Multi-tenant root entity. All data is scoped to an organisation via organisation_id foreign key.</w:t>
      </w:r>
    </w:p>
    <w:p>
      <w:pPr>
        <w:pStyle w:val="ListParagraph"/>
        <w:numPr>
          <w:ilvl w:val="0"/>
          <w:numId w:val="2"/>
        </w:numPr>
        <w:spacing w:after="80" w:line="264"/>
      </w:pPr>
      <w:r>
        <w:rPr>
          <w:rFonts w:ascii="Arial" w:cs="Arial" w:eastAsia="Arial" w:hAnsi="Arial"/>
          <w:b/>
          <w:bCs/>
          <w:color w:val="333333"/>
          <w:sz w:val="21"/>
          <w:szCs w:val="21"/>
        </w:rPr>
        <w:t xml:space="preserve">User: </w:t>
      </w:r>
      <w:r>
        <w:rPr>
          <w:rFonts w:ascii="Arial" w:cs="Arial" w:eastAsia="Arial" w:hAnsi="Arial"/>
          <w:color w:val="333333"/>
          <w:sz w:val="21"/>
          <w:szCs w:val="21"/>
        </w:rPr>
        <w:t xml:space="preserve">Any person in the system (admin, participant, rater, manager). Linked to organisation and department.</w:t>
      </w:r>
    </w:p>
    <w:p>
      <w:pPr>
        <w:pStyle w:val="ListParagraph"/>
        <w:numPr>
          <w:ilvl w:val="0"/>
          <w:numId w:val="2"/>
        </w:numPr>
        <w:spacing w:after="80" w:line="264"/>
      </w:pPr>
      <w:r>
        <w:rPr>
          <w:rFonts w:ascii="Arial" w:cs="Arial" w:eastAsia="Arial" w:hAnsi="Arial"/>
          <w:b/>
          <w:bCs/>
          <w:color w:val="333333"/>
          <w:sz w:val="21"/>
          <w:szCs w:val="21"/>
        </w:rPr>
        <w:t xml:space="preserve">Competency: </w:t>
      </w:r>
      <w:r>
        <w:rPr>
          <w:rFonts w:ascii="Arial" w:cs="Arial" w:eastAsia="Arial" w:hAnsi="Arial"/>
          <w:color w:val="333333"/>
          <w:sz w:val="21"/>
          <w:szCs w:val="21"/>
        </w:rPr>
        <w:t xml:space="preserve">A defined competency with domain classification, level descriptors, and behavioural indicators.</w:t>
      </w:r>
    </w:p>
    <w:p>
      <w:pPr>
        <w:pStyle w:val="ListParagraph"/>
        <w:numPr>
          <w:ilvl w:val="0"/>
          <w:numId w:val="2"/>
        </w:numPr>
        <w:spacing w:after="80" w:line="264"/>
      </w:pPr>
      <w:r>
        <w:rPr>
          <w:rFonts w:ascii="Arial" w:cs="Arial" w:eastAsia="Arial" w:hAnsi="Arial"/>
          <w:b/>
          <w:bCs/>
          <w:color w:val="333333"/>
          <w:sz w:val="21"/>
          <w:szCs w:val="21"/>
        </w:rPr>
        <w:t xml:space="preserve">Assessment: </w:t>
      </w:r>
      <w:r>
        <w:rPr>
          <w:rFonts w:ascii="Arial" w:cs="Arial" w:eastAsia="Arial" w:hAnsi="Arial"/>
          <w:color w:val="333333"/>
          <w:sz w:val="21"/>
          <w:szCs w:val="21"/>
        </w:rPr>
        <w:t xml:space="preserve">A configured assessment instance (360, competency, personality, or readiness). Contains the configuration: which competencies, which scale, which participants.</w:t>
      </w:r>
    </w:p>
    <w:p>
      <w:pPr>
        <w:pStyle w:val="ListParagraph"/>
        <w:numPr>
          <w:ilvl w:val="0"/>
          <w:numId w:val="2"/>
        </w:numPr>
        <w:spacing w:after="80" w:line="264"/>
      </w:pPr>
      <w:r>
        <w:rPr>
          <w:rFonts w:ascii="Arial" w:cs="Arial" w:eastAsia="Arial" w:hAnsi="Arial"/>
          <w:b/>
          <w:bCs/>
          <w:color w:val="333333"/>
          <w:sz w:val="21"/>
          <w:szCs w:val="21"/>
        </w:rPr>
        <w:t xml:space="preserve">Response: </w:t>
      </w:r>
      <w:r>
        <w:rPr>
          <w:rFonts w:ascii="Arial" w:cs="Arial" w:eastAsia="Arial" w:hAnsi="Arial"/>
          <w:color w:val="333333"/>
          <w:sz w:val="21"/>
          <w:szCs w:val="21"/>
        </w:rPr>
        <w:t xml:space="preserve">An individual’s response to a specific item within an assessment. Generic structure supports Likert, MCQ, forced-choice, and text responses.</w:t>
      </w:r>
    </w:p>
    <w:p>
      <w:pPr>
        <w:pStyle w:val="ListParagraph"/>
        <w:numPr>
          <w:ilvl w:val="0"/>
          <w:numId w:val="2"/>
        </w:numPr>
        <w:spacing w:after="80" w:line="264"/>
      </w:pPr>
      <w:r>
        <w:rPr>
          <w:rFonts w:ascii="Arial" w:cs="Arial" w:eastAsia="Arial" w:hAnsi="Arial"/>
          <w:b/>
          <w:bCs/>
          <w:color w:val="333333"/>
          <w:sz w:val="21"/>
          <w:szCs w:val="21"/>
        </w:rPr>
        <w:t xml:space="preserve">Score: </w:t>
      </w:r>
      <w:r>
        <w:rPr>
          <w:rFonts w:ascii="Arial" w:cs="Arial" w:eastAsia="Arial" w:hAnsi="Arial"/>
          <w:color w:val="333333"/>
          <w:sz w:val="21"/>
          <w:szCs w:val="21"/>
        </w:rPr>
        <w:t xml:space="preserve">Computed score at the competency, domain, or overall level. Includes raw, scaled, and percentile values.</w:t>
      </w:r>
    </w:p>
    <w:p>
      <w:pPr>
        <w:pStyle w:val="ListParagraph"/>
        <w:numPr>
          <w:ilvl w:val="0"/>
          <w:numId w:val="2"/>
        </w:numPr>
        <w:spacing w:after="80" w:line="264"/>
      </w:pPr>
      <w:r>
        <w:rPr>
          <w:rFonts w:ascii="Arial" w:cs="Arial" w:eastAsia="Arial" w:hAnsi="Arial"/>
          <w:b/>
          <w:bCs/>
          <w:color w:val="333333"/>
          <w:sz w:val="21"/>
          <w:szCs w:val="21"/>
        </w:rPr>
        <w:t xml:space="preserve">Report: </w:t>
      </w:r>
      <w:r>
        <w:rPr>
          <w:rFonts w:ascii="Arial" w:cs="Arial" w:eastAsia="Arial" w:hAnsi="Arial"/>
          <w:color w:val="333333"/>
          <w:sz w:val="21"/>
          <w:szCs w:val="21"/>
        </w:rPr>
        <w:t xml:space="preserve">Generated PDF report linked to an assessment instance and participant. Stored as S3 URL.</w:t>
      </w:r>
    </w:p>
    <w:p>
      <w:pPr>
        <w:spacing w:before="200" w:after="120"/>
      </w:pPr>
      <w:r>
        <w:rPr>
          <w:rFonts w:ascii="Arial" w:cs="Arial" w:eastAsia="Arial" w:hAnsi="Arial"/>
          <w:b/>
          <w:bCs/>
          <w:color w:val="1B3A5C"/>
          <w:sz w:val="22"/>
          <w:szCs w:val="22"/>
        </w:rPr>
        <w:t xml:space="preserve">Multi-Tenancy Approach</w:t>
      </w:r>
    </w:p>
    <w:p>
      <w:pPr>
        <w:spacing w:after="160" w:line="276"/>
        <w:jc w:val="both"/>
      </w:pPr>
      <w:r>
        <w:rPr>
          <w:rFonts w:ascii="Arial" w:cs="Arial" w:eastAsia="Arial" w:hAnsi="Arial"/>
          <w:color w:val="333333"/>
          <w:sz w:val="21"/>
          <w:szCs w:val="21"/>
        </w:rPr>
        <w:t xml:space="preserve">The MVP uses shared-database, shared-schema multi-tenancy with Row-Level Security (RLS) in PostgreSQL. Every table includes an organisation_id column, and all queries are scoped through RLS policies. This is the simplest approach for a small team and provides adequate data isolation for the prototype phase.</w:t>
      </w:r>
    </w:p>
    <w:p>
      <w:pPr>
        <w:pStyle w:val="Heading2"/>
        <w:spacing w:before="280" w:after="160"/>
      </w:pPr>
      <w:r>
        <w:rPr>
          <w:rFonts w:ascii="Arial" w:cs="Arial" w:eastAsia="Arial" w:hAnsi="Arial"/>
          <w:b/>
          <w:bCs/>
          <w:color w:val="2E75B6"/>
          <w:sz w:val="26"/>
          <w:szCs w:val="26"/>
        </w:rPr>
        <w:t xml:space="preserve">3.4 API Design</w:t>
      </w:r>
    </w:p>
    <w:p>
      <w:pPr>
        <w:spacing w:after="160" w:line="276"/>
        <w:jc w:val="both"/>
      </w:pPr>
      <w:r>
        <w:rPr>
          <w:rFonts w:ascii="Arial" w:cs="Arial" w:eastAsia="Arial" w:hAnsi="Arial"/>
          <w:color w:val="333333"/>
          <w:sz w:val="21"/>
          <w:szCs w:val="21"/>
        </w:rPr>
        <w:t xml:space="preserve">RESTful API with consistent conventions:</w:t>
      </w:r>
    </w:p>
    <w:p>
      <w:pPr>
        <w:pStyle w:val="ListParagraph"/>
        <w:numPr>
          <w:ilvl w:val="0"/>
          <w:numId w:val="2"/>
        </w:numPr>
        <w:spacing w:after="80" w:line="264"/>
      </w:pPr>
      <w:r>
        <w:rPr>
          <w:rFonts w:ascii="Arial" w:cs="Arial" w:eastAsia="Arial" w:hAnsi="Arial"/>
          <w:color w:val="333333"/>
          <w:sz w:val="21"/>
          <w:szCs w:val="21"/>
        </w:rPr>
        <w:t xml:space="preserve">All endpoints prefixed with /api/v1/</w:t>
      </w:r>
    </w:p>
    <w:p>
      <w:pPr>
        <w:pStyle w:val="ListParagraph"/>
        <w:numPr>
          <w:ilvl w:val="0"/>
          <w:numId w:val="2"/>
        </w:numPr>
        <w:spacing w:after="80" w:line="264"/>
      </w:pPr>
      <w:r>
        <w:rPr>
          <w:rFonts w:ascii="Arial" w:cs="Arial" w:eastAsia="Arial" w:hAnsi="Arial"/>
          <w:color w:val="333333"/>
          <w:sz w:val="21"/>
          <w:szCs w:val="21"/>
        </w:rPr>
        <w:t xml:space="preserve">Authentication via Bearer token (JWT) in Authorization header</w:t>
      </w:r>
    </w:p>
    <w:p>
      <w:pPr>
        <w:pStyle w:val="ListParagraph"/>
        <w:numPr>
          <w:ilvl w:val="0"/>
          <w:numId w:val="2"/>
        </w:numPr>
        <w:spacing w:after="80" w:line="264"/>
      </w:pPr>
      <w:r>
        <w:rPr>
          <w:rFonts w:ascii="Arial" w:cs="Arial" w:eastAsia="Arial" w:hAnsi="Arial"/>
          <w:color w:val="333333"/>
          <w:sz w:val="21"/>
          <w:szCs w:val="21"/>
        </w:rPr>
        <w:t xml:space="preserve">Pagination: cursor-based for list endpoints</w:t>
      </w:r>
    </w:p>
    <w:p>
      <w:pPr>
        <w:pStyle w:val="ListParagraph"/>
        <w:numPr>
          <w:ilvl w:val="0"/>
          <w:numId w:val="2"/>
        </w:numPr>
        <w:spacing w:after="80" w:line="264"/>
      </w:pPr>
      <w:r>
        <w:rPr>
          <w:rFonts w:ascii="Arial" w:cs="Arial" w:eastAsia="Arial" w:hAnsi="Arial"/>
          <w:color w:val="333333"/>
          <w:sz w:val="21"/>
          <w:szCs w:val="21"/>
        </w:rPr>
        <w:t xml:space="preserve">Error responses: consistent JSON structure with error code, message, and field-level validation details</w:t>
      </w:r>
    </w:p>
    <w:p>
      <w:pPr>
        <w:pStyle w:val="ListParagraph"/>
        <w:numPr>
          <w:ilvl w:val="0"/>
          <w:numId w:val="2"/>
        </w:numPr>
        <w:spacing w:after="80" w:line="264"/>
      </w:pPr>
      <w:r>
        <w:rPr>
          <w:rFonts w:ascii="Arial" w:cs="Arial" w:eastAsia="Arial" w:hAnsi="Arial"/>
          <w:color w:val="333333"/>
          <w:sz w:val="21"/>
          <w:szCs w:val="21"/>
        </w:rPr>
        <w:t xml:space="preserve">Rate limiting: 100 requests/minute per user; 1000 requests/minute per organisation</w:t>
      </w:r>
    </w:p>
    <w:p>
      <w:pPr>
        <w:spacing w:before="200" w:after="120"/>
      </w:pPr>
      <w:r>
        <w:rPr>
          <w:rFonts w:ascii="Arial" w:cs="Arial" w:eastAsia="Arial" w:hAnsi="Arial"/>
          <w:b/>
          <w:bCs/>
          <w:color w:val="1B3A5C"/>
          <w:sz w:val="22"/>
          <w:szCs w:val="22"/>
        </w:rPr>
        <w:t xml:space="preserve">Key API Endpoints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c>
          <w:tcPr>
            <w:tcW w:type="dxa" w:w="2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Endpoint Group</w:t>
            </w:r>
          </w:p>
        </w:tc>
        <w:tc>
          <w:tcPr>
            <w:tcW w:type="dxa" w:w="4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 Operations</w:t>
            </w:r>
          </w:p>
        </w:tc>
        <w:tc>
          <w:tcPr>
            <w:tcW w:type="dxa" w:w="22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Auth Required</w:t>
            </w:r>
          </w:p>
        </w:tc>
      </w:tr>
      <w:tr>
        <w:tc>
          <w:tcPr>
            <w:tcW w:type="dxa" w:w="2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POST /auth/login, /auth/register</w:t>
            </w:r>
          </w:p>
        </w:tc>
        <w:tc>
          <w:tcPr>
            <w:tcW w:type="dxa" w:w="4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Authentication, password reset, token refresh</w:t>
            </w:r>
          </w:p>
        </w:tc>
        <w:tc>
          <w:tcPr>
            <w:tcW w:type="dxa" w:w="2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 (public)</w:t>
            </w:r>
          </w:p>
        </w:tc>
      </w:tr>
      <w:tr>
        <w:tc>
          <w:tcPr>
            <w:tcW w:type="dxa" w:w="2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/organisations</w:t>
            </w:r>
          </w:p>
        </w:tc>
        <w:tc>
          <w:tcPr>
            <w:tcW w:type="dxa" w:w="4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 setup, department management, user invitation</w:t>
            </w:r>
          </w:p>
        </w:tc>
        <w:tc>
          <w:tcPr>
            <w:tcW w:type="dxa" w:w="2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w:t>
            </w:r>
          </w:p>
        </w:tc>
      </w:tr>
      <w:tr>
        <w:tc>
          <w:tcPr>
            <w:tcW w:type="dxa" w:w="2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/competencies</w:t>
            </w:r>
          </w:p>
        </w:tc>
        <w:tc>
          <w:tcPr>
            <w:tcW w:type="dxa" w:w="4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library CRUD, framework management</w:t>
            </w:r>
          </w:p>
        </w:tc>
        <w:tc>
          <w:tcPr>
            <w:tcW w:type="dxa" w:w="2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 Designer</w:t>
            </w:r>
          </w:p>
        </w:tc>
      </w:tr>
      <w:tr>
        <w:tc>
          <w:tcPr>
            <w:tcW w:type="dxa" w:w="2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/assessments</w:t>
            </w:r>
          </w:p>
        </w:tc>
        <w:tc>
          <w:tcPr>
            <w:tcW w:type="dxa" w:w="4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Create assessment, configure, assign participants</w:t>
            </w:r>
          </w:p>
        </w:tc>
        <w:tc>
          <w:tcPr>
            <w:tcW w:type="dxa" w:w="2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w:t>
            </w:r>
          </w:p>
        </w:tc>
      </w:tr>
      <w:tr>
        <w:tc>
          <w:tcPr>
            <w:tcW w:type="dxa" w:w="2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/assessments/:id/360</w:t>
            </w:r>
          </w:p>
        </w:tc>
        <w:tc>
          <w:tcPr>
            <w:tcW w:type="dxa" w:w="4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Rater nomination, approval, distribution, reminders</w:t>
            </w:r>
          </w:p>
        </w:tc>
        <w:tc>
          <w:tcPr>
            <w:tcW w:type="dxa" w:w="2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 Participant</w:t>
            </w:r>
          </w:p>
        </w:tc>
      </w:tr>
      <w:tr>
        <w:tc>
          <w:tcPr>
            <w:tcW w:type="dxa" w:w="2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/assessments/:id/responses</w:t>
            </w:r>
          </w:p>
        </w:tc>
        <w:tc>
          <w:tcPr>
            <w:tcW w:type="dxa" w:w="4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Submit responses (self, manager, rater)</w:t>
            </w:r>
          </w:p>
        </w:tc>
        <w:tc>
          <w:tcPr>
            <w:tcW w:type="dxa" w:w="2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Participant / Rater</w:t>
            </w:r>
          </w:p>
        </w:tc>
      </w:tr>
      <w:tr>
        <w:tc>
          <w:tcPr>
            <w:tcW w:type="dxa" w:w="2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 /assessments/:id/scores</w:t>
            </w:r>
          </w:p>
        </w:tc>
        <w:tc>
          <w:tcPr>
            <w:tcW w:type="dxa" w:w="4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View computed scores, gap analysis</w:t>
            </w:r>
          </w:p>
        </w:tc>
        <w:tc>
          <w:tcPr>
            <w:tcW w:type="dxa" w:w="2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 Participant</w:t>
            </w:r>
          </w:p>
        </w:tc>
      </w:tr>
      <w:tr>
        <w:tc>
          <w:tcPr>
            <w:tcW w:type="dxa" w:w="2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GET/POST /reports</w:t>
            </w:r>
          </w:p>
        </w:tc>
        <w:tc>
          <w:tcPr>
            <w:tcW w:type="dxa" w:w="4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download, share reports</w:t>
            </w:r>
          </w:p>
        </w:tc>
        <w:tc>
          <w:tcPr>
            <w:tcW w:type="dxa" w:w="2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 Participant</w:t>
            </w:r>
          </w:p>
        </w:tc>
      </w:tr>
      <w:tr>
        <w:tc>
          <w:tcPr>
            <w:tcW w:type="dxa" w:w="2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GET /analytics/dashboard</w:t>
            </w:r>
          </w:p>
        </w:tc>
        <w:tc>
          <w:tcPr>
            <w:tcW w:type="dxa" w:w="4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Org-level analytics, heat maps, succession views</w:t>
            </w:r>
          </w:p>
        </w:tc>
        <w:tc>
          <w:tcPr>
            <w:tcW w:type="dxa" w:w="2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 Executive</w:t>
            </w:r>
          </w:p>
        </w:tc>
      </w:tr>
      <w:tr>
        <w:tc>
          <w:tcPr>
            <w:tcW w:type="dxa" w:w="2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POST /rater/:token</w:t>
            </w:r>
          </w:p>
        </w:tc>
        <w:tc>
          <w:tcPr>
            <w:tcW w:type="dxa" w:w="4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Anonymous rater feedback submission (no auth, token-based)</w:t>
            </w:r>
          </w:p>
        </w:tc>
        <w:tc>
          <w:tcPr>
            <w:tcW w:type="dxa" w:w="2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Token only</w:t>
            </w:r>
          </w:p>
        </w:tc>
      </w:tr>
    </w:tbl>
    <w:p>
      <w:r>
        <w:br w:type="page"/>
      </w:r>
    </w:p>
    <w:p>
      <w:pPr>
        <w:pStyle w:val="Heading1"/>
        <w:spacing w:before="360" w:after="200"/>
      </w:pPr>
      <w:r>
        <w:rPr>
          <w:rFonts w:ascii="Arial" w:cs="Arial" w:eastAsia="Arial" w:hAnsi="Arial"/>
          <w:b/>
          <w:bCs/>
          <w:color w:val="1B3A5C"/>
          <w:sz w:val="32"/>
          <w:szCs w:val="32"/>
        </w:rPr>
        <w:t xml:space="preserve">4. Key Screens &amp; User Flows</w:t>
      </w:r>
    </w:p>
    <w:p>
      <w:pPr>
        <w:pBdr>
          <w:bottom w:val="single" w:color="2E75B6" w:sz="3" w:space="1"/>
        </w:pBdr>
        <w:spacing w:before="200" w:after="200"/>
      </w:pPr>
    </w:p>
    <w:p>
      <w:pPr>
        <w:spacing w:after="160" w:line="276"/>
        <w:jc w:val="both"/>
      </w:pPr>
      <w:r>
        <w:rPr>
          <w:rFonts w:ascii="Arial" w:cs="Arial" w:eastAsia="Arial" w:hAnsi="Arial"/>
          <w:color w:val="333333"/>
          <w:sz w:val="21"/>
          <w:szCs w:val="21"/>
        </w:rPr>
        <w:t xml:space="preserve">The MVP targets three distinct user experiences: the Administrator (HR consultancy or corporate HR), the Participant (leader being assessed), and the Rater (anonymous feedback provider in 360).</w:t>
      </w:r>
    </w:p>
    <w:p>
      <w:pPr>
        <w:pStyle w:val="Heading2"/>
        <w:spacing w:before="280" w:after="160"/>
      </w:pPr>
      <w:r>
        <w:rPr>
          <w:rFonts w:ascii="Arial" w:cs="Arial" w:eastAsia="Arial" w:hAnsi="Arial"/>
          <w:b/>
          <w:bCs/>
          <w:color w:val="2E75B6"/>
          <w:sz w:val="26"/>
          <w:szCs w:val="26"/>
        </w:rPr>
        <w:t xml:space="preserve">4.1 Administrator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Screen</w:t>
            </w:r>
          </w:p>
        </w:tc>
        <w:tc>
          <w:tcPr>
            <w:tcW w:type="dxa" w:w="2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Purpose</w:t>
            </w:r>
          </w:p>
        </w:tc>
        <w:tc>
          <w:tcPr>
            <w:tcW w:type="dxa" w:w="50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 Elements</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Dashboard</w:t>
            </w:r>
          </w:p>
        </w:tc>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Overview of all active assessments, response rates, recent reports</w:t>
            </w:r>
          </w:p>
        </w:tc>
        <w:tc>
          <w:tcPr>
            <w:tcW w:type="dxa" w:w="5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 cards with status (Draft/Active/Completed), response rate gauges, quick-action buttons</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Create Assessment</w:t>
            </w:r>
          </w:p>
        </w:tc>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Wizard to configure a new assessment</w:t>
            </w:r>
          </w:p>
        </w:tc>
        <w:tc>
          <w:tcPr>
            <w:tcW w:type="dxa" w:w="5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Step 1: Type (360/Competency/Personality/Readiness) → Step 2: Select competencies → Step 3: Add participants → Step 4: Configure settings → Step 5: Review &amp; Launch</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 Detail</w:t>
            </w:r>
          </w:p>
        </w:tc>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Manage a running assessment</w:t>
            </w:r>
          </w:p>
        </w:tc>
        <w:tc>
          <w:tcPr>
            <w:tcW w:type="dxa" w:w="5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Participant list with completion status, rater response tracking (360), send reminder buttons, close assessment action</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 Centre</w:t>
            </w:r>
          </w:p>
        </w:tc>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View and distribute generated reports</w:t>
            </w:r>
          </w:p>
        </w:tc>
        <w:tc>
          <w:tcPr>
            <w:tcW w:type="dxa" w:w="5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 list with participant name, assessment type, generation date, download/share actions</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Library</w:t>
            </w:r>
          </w:p>
        </w:tc>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View/edit competency frameworks</w:t>
            </w:r>
          </w:p>
        </w:tc>
        <w:tc>
          <w:tcPr>
            <w:tcW w:type="dxa" w:w="5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Tree view of domains → competencies → levels. Edit capability for custom competencies</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Organisation Settings</w:t>
            </w:r>
          </w:p>
        </w:tc>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Manage departments, users, branding</w:t>
            </w:r>
          </w:p>
        </w:tc>
        <w:tc>
          <w:tcPr>
            <w:tcW w:type="dxa" w:w="50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Department tree, user management, logo upload, language preferences</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Succession Dashboard (UC4)</w:t>
            </w:r>
          </w:p>
        </w:tc>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9-box grid and readiness matrix</w:t>
            </w:r>
          </w:p>
        </w:tc>
        <w:tc>
          <w:tcPr>
            <w:tcW w:type="dxa" w:w="50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Interactive 9-box plot, readiness status filters, talent pool depth indicators per target role</w:t>
            </w:r>
          </w:p>
        </w:tc>
      </w:tr>
    </w:tbl>
    <w:p>
      <w:pPr>
        <w:spacing w:after="120"/>
      </w:pPr>
    </w:p>
    <w:p>
      <w:pPr>
        <w:pStyle w:val="Heading2"/>
        <w:spacing w:before="280" w:after="160"/>
      </w:pPr>
      <w:r>
        <w:rPr>
          <w:rFonts w:ascii="Arial" w:cs="Arial" w:eastAsia="Arial" w:hAnsi="Arial"/>
          <w:b/>
          <w:bCs/>
          <w:color w:val="2E75B6"/>
          <w:sz w:val="26"/>
          <w:szCs w:val="26"/>
        </w:rPr>
        <w:t xml:space="preserve">4.2 Participant Experience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Screen</w:t>
            </w:r>
          </w:p>
        </w:tc>
        <w:tc>
          <w:tcPr>
            <w:tcW w:type="dxa" w:w="2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Purpose</w:t>
            </w:r>
          </w:p>
        </w:tc>
        <w:tc>
          <w:tcPr>
            <w:tcW w:type="dxa" w:w="48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 Elements</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My Assessments</w:t>
            </w:r>
          </w:p>
        </w:tc>
        <w:tc>
          <w:tcPr>
            <w:tcW w:type="dxa" w:w="2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Landing page showing pending and completed assessments</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 cards with type badge, due date, estimated time, start/continue button</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Assessment Interface</w:t>
            </w:r>
          </w:p>
        </w:tc>
        <w:tc>
          <w:tcPr>
            <w:tcW w:type="dxa" w:w="2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Complete an assessment (360 self, competency, personality, SJT)</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One-question or one-competency per screen; progress bar; timer (SJT only); clean, distraction-free design</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Rater Nomination</w:t>
            </w:r>
          </w:p>
        </w:tc>
        <w:tc>
          <w:tcPr>
            <w:tcW w:type="dxa" w:w="2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Nominate raters for 360 feedback</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Add raters by name/email; categorise as Supervisor/Peer/Direct Report/Stakeholder; minimum threshold indicators</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My Reports</w:t>
            </w:r>
          </w:p>
        </w:tc>
        <w:tc>
          <w:tcPr>
            <w:tcW w:type="dxa" w:w="2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View completed assessment reports</w:t>
            </w:r>
          </w:p>
        </w:tc>
        <w:tc>
          <w:tcPr>
            <w:tcW w:type="dxa" w:w="4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 cards with download PDF button; key scores visible in preview; historical trend if repeat assessment</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Development Summary</w:t>
            </w:r>
          </w:p>
        </w:tc>
        <w:tc>
          <w:tcPr>
            <w:tcW w:type="dxa" w:w="2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Quick view of development priorities from all assessments</w:t>
            </w:r>
          </w:p>
        </w:tc>
        <w:tc>
          <w:tcPr>
            <w:tcW w:type="dxa" w:w="4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Top 3 strengths, top 3 development areas, aggregated across all completed assessments</w:t>
            </w:r>
          </w:p>
        </w:tc>
      </w:tr>
    </w:tbl>
    <w:p>
      <w:pPr>
        <w:spacing w:after="120"/>
      </w:pPr>
    </w:p>
    <w:p>
      <w:pPr>
        <w:pStyle w:val="Heading2"/>
        <w:spacing w:before="280" w:after="160"/>
      </w:pPr>
      <w:r>
        <w:rPr>
          <w:rFonts w:ascii="Arial" w:cs="Arial" w:eastAsia="Arial" w:hAnsi="Arial"/>
          <w:b/>
          <w:bCs/>
          <w:color w:val="2E75B6"/>
          <w:sz w:val="26"/>
          <w:szCs w:val="26"/>
        </w:rPr>
        <w:t xml:space="preserve">4.3 Rater Experience (360 Feedback Only)</w:t>
      </w:r>
    </w:p>
    <w:p>
      <w:pPr>
        <w:spacing w:after="160" w:line="276"/>
        <w:jc w:val="both"/>
      </w:pPr>
      <w:r>
        <w:rPr>
          <w:rFonts w:ascii="Arial" w:cs="Arial" w:eastAsia="Arial" w:hAnsi="Arial"/>
          <w:color w:val="333333"/>
          <w:sz w:val="21"/>
          <w:szCs w:val="21"/>
        </w:rPr>
        <w:t xml:space="preserve">The rater experience is critical and must be the simplest flow in the entire application. Raters are external to the platform; they receive an email link and must be able to complete feedback in under 15 minutes without creating an account.</w:t>
      </w:r>
    </w:p>
    <w:p>
      <w:pPr>
        <w:pStyle w:val="ListParagraph"/>
        <w:numPr>
          <w:ilvl w:val="0"/>
          <w:numId w:val="3"/>
        </w:numPr>
        <w:spacing w:after="80" w:line="264"/>
      </w:pPr>
      <w:r>
        <w:rPr>
          <w:rFonts w:ascii="Arial" w:cs="Arial" w:eastAsia="Arial" w:hAnsi="Arial"/>
          <w:b/>
          <w:bCs/>
          <w:color w:val="333333"/>
          <w:sz w:val="21"/>
          <w:szCs w:val="21"/>
        </w:rPr>
        <w:t xml:space="preserve">Step 1 — Landing: </w:t>
      </w:r>
      <w:r>
        <w:rPr>
          <w:rFonts w:ascii="Arial" w:cs="Arial" w:eastAsia="Arial" w:hAnsi="Arial"/>
          <w:color w:val="333333"/>
          <w:sz w:val="21"/>
          <w:szCs w:val="21"/>
        </w:rPr>
        <w:t xml:space="preserve">Rater clicks the unique link from their email. They see a clean page with: the participant’s name, the assessment name, estimated completion time (12–15 min), an anonymity guarantee statement (in their language preference), and a “Begin Feedback” button.</w:t>
      </w:r>
    </w:p>
    <w:p>
      <w:pPr>
        <w:pStyle w:val="ListParagraph"/>
        <w:numPr>
          <w:ilvl w:val="0"/>
          <w:numId w:val="3"/>
        </w:numPr>
        <w:spacing w:after="80" w:line="264"/>
      </w:pPr>
      <w:r>
        <w:rPr>
          <w:rFonts w:ascii="Arial" w:cs="Arial" w:eastAsia="Arial" w:hAnsi="Arial"/>
          <w:b/>
          <w:bCs/>
          <w:color w:val="333333"/>
          <w:sz w:val="21"/>
          <w:szCs w:val="21"/>
        </w:rPr>
        <w:t xml:space="preserve">Step 2 — Rating: </w:t>
      </w:r>
      <w:r>
        <w:rPr>
          <w:rFonts w:ascii="Arial" w:cs="Arial" w:eastAsia="Arial" w:hAnsi="Arial"/>
          <w:color w:val="333333"/>
          <w:sz w:val="21"/>
          <w:szCs w:val="21"/>
        </w:rPr>
        <w:t xml:space="preserve">One competency cluster per screen. Each cluster shows 4–5 behavioural statements with a 5-point frequency scale (Rarely to Consistently). An optional comment box at the bottom of each cluster. Mobile-optimised touch targets.</w:t>
      </w:r>
    </w:p>
    <w:p>
      <w:pPr>
        <w:pStyle w:val="ListParagraph"/>
        <w:numPr>
          <w:ilvl w:val="0"/>
          <w:numId w:val="3"/>
        </w:numPr>
        <w:spacing w:after="80" w:line="264"/>
      </w:pPr>
      <w:r>
        <w:rPr>
          <w:rFonts w:ascii="Arial" w:cs="Arial" w:eastAsia="Arial" w:hAnsi="Arial"/>
          <w:b/>
          <w:bCs/>
          <w:color w:val="333333"/>
          <w:sz w:val="21"/>
          <w:szCs w:val="21"/>
        </w:rPr>
        <w:t xml:space="preserve">Step 3 — Overall: </w:t>
      </w:r>
      <w:r>
        <w:rPr>
          <w:rFonts w:ascii="Arial" w:cs="Arial" w:eastAsia="Arial" w:hAnsi="Arial"/>
          <w:color w:val="333333"/>
          <w:sz w:val="21"/>
          <w:szCs w:val="21"/>
        </w:rPr>
        <w:t xml:space="preserve">One final screen asking for an overall leadership effectiveness rating (1–10 scale) and an open-ended comment: “What is the one thing this leader should focus on developing?”</w:t>
      </w:r>
    </w:p>
    <w:p>
      <w:pPr>
        <w:pStyle w:val="ListParagraph"/>
        <w:numPr>
          <w:ilvl w:val="0"/>
          <w:numId w:val="3"/>
        </w:numPr>
        <w:spacing w:after="80" w:line="264"/>
      </w:pPr>
      <w:r>
        <w:rPr>
          <w:rFonts w:ascii="Arial" w:cs="Arial" w:eastAsia="Arial" w:hAnsi="Arial"/>
          <w:b/>
          <w:bCs/>
          <w:color w:val="333333"/>
          <w:sz w:val="21"/>
          <w:szCs w:val="21"/>
        </w:rPr>
        <w:t xml:space="preserve">Step 4 — Thank You: </w:t>
      </w:r>
      <w:r>
        <w:rPr>
          <w:rFonts w:ascii="Arial" w:cs="Arial" w:eastAsia="Arial" w:hAnsi="Arial"/>
          <w:color w:val="333333"/>
          <w:sz w:val="21"/>
          <w:szCs w:val="21"/>
        </w:rPr>
        <w:t xml:space="preserve">Confirmation screen thanking the rater. No further action required. Rater’s responses are immediately encrypted and stored.</w:t>
      </w:r>
    </w:p>
    <w:p>
      <w:r>
        <w:br w:type="page"/>
      </w:r>
    </w:p>
    <w:p>
      <w:pPr>
        <w:pStyle w:val="Heading1"/>
        <w:spacing w:before="360" w:after="200"/>
      </w:pPr>
      <w:r>
        <w:rPr>
          <w:rFonts w:ascii="Arial" w:cs="Arial" w:eastAsia="Arial" w:hAnsi="Arial"/>
          <w:b/>
          <w:bCs/>
          <w:color w:val="1B3A5C"/>
          <w:sz w:val="32"/>
          <w:szCs w:val="32"/>
        </w:rPr>
        <w:t xml:space="preserve">5. Report Design Specifications</w:t>
      </w:r>
    </w:p>
    <w:p>
      <w:pPr>
        <w:pBdr>
          <w:bottom w:val="single" w:color="2E75B6" w:sz="3" w:space="1"/>
        </w:pBdr>
        <w:spacing w:before="200" w:after="200"/>
      </w:pPr>
    </w:p>
    <w:p>
      <w:pPr>
        <w:spacing w:after="160" w:line="276"/>
        <w:jc w:val="both"/>
      </w:pPr>
      <w:r>
        <w:rPr>
          <w:rFonts w:ascii="Arial" w:cs="Arial" w:eastAsia="Arial" w:hAnsi="Arial"/>
          <w:color w:val="333333"/>
          <w:sz w:val="21"/>
          <w:szCs w:val="21"/>
        </w:rPr>
        <w:t xml:space="preserve">Reports are the primary deliverable of the platform. They must look professional enough that the HR consultancy is proud to present them to their clients. Each report is generated as a branded PDF.</w:t>
      </w:r>
    </w:p>
    <w:p>
      <w:pPr>
        <w:pStyle w:val="Heading2"/>
        <w:spacing w:before="280" w:after="160"/>
      </w:pPr>
      <w:r>
        <w:rPr>
          <w:rFonts w:ascii="Arial" w:cs="Arial" w:eastAsia="Arial" w:hAnsi="Arial"/>
          <w:b/>
          <w:bCs/>
          <w:color w:val="2E75B6"/>
          <w:sz w:val="26"/>
          <w:szCs w:val="26"/>
        </w:rPr>
        <w:t xml:space="preserve">5.1 Report Portfolio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1200"/>
        <w:gridCol w:w="5226"/>
      </w:tblGrid>
      <w:tr>
        <w:tc>
          <w:tcPr>
            <w:tcW w:type="dxa" w:w="20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Report</w:t>
            </w:r>
          </w:p>
        </w:tc>
        <w:tc>
          <w:tcPr>
            <w:tcW w:type="dxa" w:w="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Pages</w:t>
            </w:r>
          </w:p>
        </w:tc>
        <w:tc>
          <w:tcPr>
            <w:tcW w:type="dxa" w:w="1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Generated From</w:t>
            </w:r>
          </w:p>
        </w:tc>
        <w:tc>
          <w:tcPr>
            <w:tcW w:type="dxa" w:w="52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Key Visual Elements</w:t>
            </w:r>
          </w:p>
        </w:tc>
      </w:tr>
      <w:tr>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Feedback Report</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8–12</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UC1</w:t>
            </w:r>
          </w:p>
        </w:tc>
        <w:tc>
          <w:tcPr>
            <w:tcW w:type="dxa" w:w="5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Radar/spider chart, self-other gap bars, perspective comparison heatmap, comment themes, development priorities</w:t>
            </w:r>
          </w:p>
        </w:tc>
      </w:tr>
      <w:tr>
        <w:tc>
          <w:tcPr>
            <w:tcW w:type="dxa" w:w="2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Profile Report</w:t>
            </w:r>
          </w:p>
        </w:tc>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6–8</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UC2</w:t>
            </w:r>
          </w:p>
        </w:tc>
        <w:tc>
          <w:tcPr>
            <w:tcW w:type="dxa" w:w="5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radar chart, domain summary bars, self vs. manager gap chart, proficiency level colour grid, strengths/gaps list</w:t>
            </w:r>
          </w:p>
        </w:tc>
      </w:tr>
      <w:tr>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Personality Profile Report</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6–8</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UC3</w:t>
            </w:r>
          </w:p>
        </w:tc>
        <w:tc>
          <w:tcPr>
            <w:tcW w:type="dxa" w:w="5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Big Five spectrum chart, personality narrative, leadership style descriptor, stress response section, team role indicators</w:t>
            </w:r>
          </w:p>
        </w:tc>
      </w:tr>
      <w:tr>
        <w:tc>
          <w:tcPr>
            <w:tcW w:type="dxa" w:w="2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Leadership Readiness Report</w:t>
            </w:r>
          </w:p>
        </w:tc>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10–14</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UC4 (composite)</w:t>
            </w:r>
          </w:p>
        </w:tc>
        <w:tc>
          <w:tcPr>
            <w:tcW w:type="dxa" w:w="5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Readiness rating badge, composite score breakdown, SJT analysis, learning agility profile, 9-box positioning, integrated development plan</w:t>
            </w:r>
          </w:p>
        </w:tc>
      </w:tr>
      <w:tr>
        <w:tc>
          <w:tcPr>
            <w:tcW w:type="dxa" w:w="2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Organisational Summary Report</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4–6</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Admin (any UC)</w:t>
            </w:r>
          </w:p>
        </w:tc>
        <w:tc>
          <w:tcPr>
            <w:tcW w:type="dxa" w:w="5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Heat maps, cohort distributions, aggregated gaps, succession pipeline overview, benchmarking charts</w:t>
            </w:r>
          </w:p>
        </w:tc>
      </w:tr>
    </w:tbl>
    <w:p>
      <w:pPr>
        <w:spacing w:after="120"/>
      </w:pPr>
    </w:p>
    <w:p>
      <w:pPr>
        <w:pStyle w:val="Heading2"/>
        <w:spacing w:before="280" w:after="160"/>
      </w:pPr>
      <w:r>
        <w:rPr>
          <w:rFonts w:ascii="Arial" w:cs="Arial" w:eastAsia="Arial" w:hAnsi="Arial"/>
          <w:b/>
          <w:bCs/>
          <w:color w:val="2E75B6"/>
          <w:sz w:val="26"/>
          <w:szCs w:val="26"/>
        </w:rPr>
        <w:t xml:space="preserve">5.2 Report Branding</w:t>
      </w:r>
    </w:p>
    <w:p>
      <w:pPr>
        <w:spacing w:after="160" w:line="276"/>
        <w:jc w:val="both"/>
      </w:pPr>
      <w:r>
        <w:rPr>
          <w:rFonts w:ascii="Arial" w:cs="Arial" w:eastAsia="Arial" w:hAnsi="Arial"/>
          <w:color w:val="333333"/>
          <w:sz w:val="21"/>
          <w:szCs w:val="21"/>
        </w:rPr>
        <w:t xml:space="preserve">Each report supports basic branding customisation:</w:t>
      </w:r>
    </w:p>
    <w:p>
      <w:pPr>
        <w:pStyle w:val="ListParagraph"/>
        <w:numPr>
          <w:ilvl w:val="0"/>
          <w:numId w:val="2"/>
        </w:numPr>
        <w:spacing w:after="80" w:line="264"/>
      </w:pPr>
      <w:r>
        <w:rPr>
          <w:rFonts w:ascii="Arial" w:cs="Arial" w:eastAsia="Arial" w:hAnsi="Arial"/>
          <w:color w:val="333333"/>
          <w:sz w:val="21"/>
          <w:szCs w:val="21"/>
        </w:rPr>
        <w:t xml:space="preserve">Organisation logo on cover page and report header</w:t>
      </w:r>
    </w:p>
    <w:p>
      <w:pPr>
        <w:pStyle w:val="ListParagraph"/>
        <w:numPr>
          <w:ilvl w:val="0"/>
          <w:numId w:val="2"/>
        </w:numPr>
        <w:spacing w:after="80" w:line="264"/>
      </w:pPr>
      <w:r>
        <w:rPr>
          <w:rFonts w:ascii="Arial" w:cs="Arial" w:eastAsia="Arial" w:hAnsi="Arial"/>
          <w:color w:val="333333"/>
          <w:sz w:val="21"/>
          <w:szCs w:val="21"/>
        </w:rPr>
        <w:t xml:space="preserve">Primary brand colour applied to charts and accents</w:t>
      </w:r>
    </w:p>
    <w:p>
      <w:pPr>
        <w:pStyle w:val="ListParagraph"/>
        <w:numPr>
          <w:ilvl w:val="0"/>
          <w:numId w:val="2"/>
        </w:numPr>
        <w:spacing w:after="80" w:line="264"/>
      </w:pPr>
      <w:r>
        <w:rPr>
          <w:rFonts w:ascii="Arial" w:cs="Arial" w:eastAsia="Arial" w:hAnsi="Arial"/>
          <w:color w:val="333333"/>
          <w:sz w:val="21"/>
          <w:szCs w:val="21"/>
        </w:rPr>
        <w:t xml:space="preserve">HR consultancy’s name as “Assessment Partner” on cover page</w:t>
      </w:r>
    </w:p>
    <w:p>
      <w:pPr>
        <w:pStyle w:val="ListParagraph"/>
        <w:numPr>
          <w:ilvl w:val="0"/>
          <w:numId w:val="2"/>
        </w:numPr>
        <w:spacing w:after="80" w:line="264"/>
      </w:pPr>
      <w:r>
        <w:rPr>
          <w:rFonts w:ascii="Arial" w:cs="Arial" w:eastAsia="Arial" w:hAnsi="Arial"/>
          <w:color w:val="333333"/>
          <w:sz w:val="21"/>
          <w:szCs w:val="21"/>
        </w:rPr>
        <w:t xml:space="preserve">Confidentiality notice with organisation name</w:t>
      </w:r>
    </w:p>
    <w:p>
      <w:pPr>
        <w:pStyle w:val="ListParagraph"/>
        <w:numPr>
          <w:ilvl w:val="0"/>
          <w:numId w:val="2"/>
        </w:numPr>
        <w:spacing w:after="80" w:line="264"/>
      </w:pPr>
      <w:r>
        <w:rPr>
          <w:rFonts w:ascii="Arial" w:cs="Arial" w:eastAsia="Arial" w:hAnsi="Arial"/>
          <w:color w:val="333333"/>
          <w:sz w:val="21"/>
          <w:szCs w:val="21"/>
        </w:rPr>
        <w:t xml:space="preserve">Language selection: English (default), Sinhala, or Tamil for report narrative sections</w:t>
      </w:r>
    </w:p>
    <w:p>
      <w:r>
        <w:br w:type="page"/>
      </w:r>
    </w:p>
    <w:p>
      <w:pPr>
        <w:pStyle w:val="Heading1"/>
        <w:spacing w:before="360" w:after="200"/>
      </w:pPr>
      <w:r>
        <w:rPr>
          <w:rFonts w:ascii="Arial" w:cs="Arial" w:eastAsia="Arial" w:hAnsi="Arial"/>
          <w:b/>
          <w:bCs/>
          <w:color w:val="1B3A5C"/>
          <w:sz w:val="32"/>
          <w:szCs w:val="32"/>
        </w:rPr>
        <w:t xml:space="preserve">6. Assessment Content Requirements</w:t>
      </w:r>
    </w:p>
    <w:p>
      <w:pPr>
        <w:pBdr>
          <w:bottom w:val="single" w:color="2E75B6" w:sz="3" w:space="1"/>
        </w:pBdr>
        <w:spacing w:before="200" w:after="200"/>
      </w:pPr>
    </w:p>
    <w:p>
      <w:pPr>
        <w:spacing w:after="160" w:line="276"/>
        <w:jc w:val="both"/>
      </w:pPr>
      <w:r>
        <w:rPr>
          <w:rFonts w:ascii="Arial" w:cs="Arial" w:eastAsia="Arial" w:hAnsi="Arial"/>
          <w:color w:val="333333"/>
          <w:sz w:val="21"/>
          <w:szCs w:val="21"/>
        </w:rPr>
        <w:t xml:space="preserve">This section specifies the minimum assessment content needed for a deployable MVP. Content development is the timeline bottleneck and must start immediately in parallel with engineering.</w:t>
      </w:r>
    </w:p>
    <w:p>
      <w:pPr>
        <w:pStyle w:val="Heading2"/>
        <w:spacing w:before="280" w:after="160"/>
      </w:pPr>
      <w:r>
        <w:rPr>
          <w:rFonts w:ascii="Arial" w:cs="Arial" w:eastAsia="Arial" w:hAnsi="Arial"/>
          <w:b/>
          <w:bCs/>
          <w:color w:val="2E75B6"/>
          <w:sz w:val="26"/>
          <w:szCs w:val="26"/>
        </w:rPr>
        <w:t xml:space="preserve">6.1 Minimum Viable Content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900"/>
        <w:gridCol w:w="3526"/>
      </w:tblGrid>
      <w:tr>
        <w:tc>
          <w:tcPr>
            <w:tcW w:type="dxa" w:w="1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Content Item</w:t>
            </w:r>
          </w:p>
        </w:tc>
        <w:tc>
          <w:tcPr>
            <w:tcW w:type="dxa" w:w="1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Quantity</w:t>
            </w:r>
          </w:p>
        </w:tc>
        <w:tc>
          <w:tcPr>
            <w:tcW w:type="dxa" w:w="1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Who Creates</w:t>
            </w:r>
          </w:p>
        </w:tc>
        <w:tc>
          <w:tcPr>
            <w:tcW w:type="dxa" w:w="9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Timeline</w:t>
            </w:r>
          </w:p>
        </w:tc>
        <w:tc>
          <w:tcPr>
            <w:tcW w:type="dxa" w:w="35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Notes</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Competency Framework</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 clusters, 35–40 behavioural items</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 + Content Specialist</w:t>
            </w:r>
          </w:p>
        </w:tc>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1–4</w:t>
            </w:r>
          </w:p>
        </w:tc>
        <w:tc>
          <w:tcPr>
            <w:tcW w:type="dxa" w:w="35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Use established leadership models as foundation; contextualise language for Sri Lankan corporate culture</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Competency Library (Four Domains)</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20–25 competencies, 4 proficiency levels each</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w:t>
            </w:r>
          </w:p>
        </w:tc>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1–6</w:t>
            </w:r>
          </w:p>
        </w:tc>
        <w:tc>
          <w:tcPr>
            <w:tcW w:type="dxa" w:w="35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Adapt from Katz model + Spencer &amp; Spencer; include behavioural indicators at each level</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Big Five Personality Questionnaire</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60 items (12 per factor)</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w:t>
            </w:r>
          </w:p>
        </w:tc>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2–6</w:t>
            </w:r>
          </w:p>
        </w:tc>
        <w:tc>
          <w:tcPr>
            <w:tcW w:type="dxa" w:w="35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Use IPIP (International Personality Item Pool) as starting point; adapt and contextualise. IPIP items are public domain.</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Situational Judgement Test</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15–20 scenarios with 4 response options each</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 + Content Specialist</w:t>
            </w:r>
          </w:p>
        </w:tc>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3–8</w:t>
            </w:r>
          </w:p>
        </w:tc>
        <w:tc>
          <w:tcPr>
            <w:tcW w:type="dxa" w:w="35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Sri Lankan corporate scenarios across banking, IT, manufacturing, services. Most content-intensive item.</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Learning Agility Instrument</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 items across 5 dimensions</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w:t>
            </w:r>
          </w:p>
        </w:tc>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4–6</w:t>
            </w:r>
          </w:p>
        </w:tc>
        <w:tc>
          <w:tcPr>
            <w:tcW w:type="dxa" w:w="35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Self-report Likert scale; relatively straightforward to develop</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MCQ Knowledge Items (Optional)</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50–100 items across key competency areas</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Specialist + Subject Matter Experts</w:t>
            </w:r>
          </w:p>
        </w:tc>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4–10</w:t>
            </w:r>
          </w:p>
        </w:tc>
        <w:tc>
          <w:tcPr>
            <w:tcW w:type="dxa" w:w="35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Lower priority; can launch without this and add later</w:t>
            </w:r>
          </w:p>
        </w:tc>
      </w:tr>
      <w:tr>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Report Narrative Templates</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Template text for each report section</w:t>
            </w:r>
          </w:p>
        </w:tc>
        <w:tc>
          <w:tcPr>
            <w:tcW w:type="dxa" w:w="1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Specialist with psychologist review</w:t>
            </w:r>
          </w:p>
        </w:tc>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6–8</w:t>
            </w:r>
          </w:p>
        </w:tc>
        <w:tc>
          <w:tcPr>
            <w:tcW w:type="dxa" w:w="35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Conditional narrative blocks based on score ranges; “If Extraversion &gt; 70th percentile, show paragraph X”</w:t>
            </w:r>
          </w:p>
        </w:tc>
      </w:tr>
      <w:tr>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Sinhala Translations</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All participant-facing content</w:t>
            </w:r>
          </w:p>
        </w:tc>
        <w:tc>
          <w:tcPr>
            <w:tcW w:type="dxa" w:w="1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Bilingual translator + psychologist review</w:t>
            </w:r>
          </w:p>
        </w:tc>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6–10</w:t>
            </w:r>
          </w:p>
        </w:tc>
        <w:tc>
          <w:tcPr>
            <w:tcW w:type="dxa" w:w="35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Back-translation validation required for psychometric content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FF3E0" w:val="clear"/>
            <w:tcMar>
              <w:top w:type="dxa" w:w="120"/>
              <w:left w:type="dxa" w:w="200"/>
              <w:bottom w:type="dxa" w:w="120"/>
              <w:right w:type="dxa" w:w="200"/>
            </w:tcMar>
            <w:vAlign w:val="center"/>
          </w:tcPr>
          <w:p>
            <w:pPr>
              <w:spacing w:after="40"/>
            </w:pPr>
            <w:r>
              <w:rPr>
                <w:rFonts w:ascii="Arial" w:cs="Arial" w:eastAsia="Arial" w:hAnsi="Arial"/>
                <w:b/>
                <w:bCs/>
                <w:color w:val="E8913A"/>
                <w:sz w:val="21"/>
                <w:szCs w:val="21"/>
              </w:rPr>
              <w:t xml:space="preserve">CRITICAL: The IO Psychologist / content specialist must start Week 1. Engineering without content produces a beautiful empty shell.</w:t>
            </w:r>
          </w:p>
        </w:tc>
      </w:tr>
    </w:tbl>
    <w:p>
      <w:r>
        <w:br w:type="page"/>
      </w:r>
    </w:p>
    <w:p>
      <w:pPr>
        <w:pStyle w:val="Heading1"/>
        <w:spacing w:before="360" w:after="200"/>
      </w:pPr>
      <w:r>
        <w:rPr>
          <w:rFonts w:ascii="Arial" w:cs="Arial" w:eastAsia="Arial" w:hAnsi="Arial"/>
          <w:b/>
          <w:bCs/>
          <w:color w:val="1B3A5C"/>
          <w:sz w:val="32"/>
          <w:szCs w:val="32"/>
        </w:rPr>
        <w:t xml:space="preserve">7. Build Plan &amp; Timeline</w:t>
      </w:r>
    </w:p>
    <w:p>
      <w:pPr>
        <w:pBdr>
          <w:bottom w:val="single" w:color="2E75B6" w:sz="3" w:space="1"/>
        </w:pBdr>
        <w:spacing w:before="20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0F4F8" w:val="clear"/>
            <w:tcMar>
              <w:top w:type="dxa" w:w="160"/>
              <w:left w:type="dxa" w:w="240"/>
              <w:bottom w:type="dxa" w:w="160"/>
              <w:right w:type="dxa" w:w="240"/>
            </w:tcMar>
            <w:vAlign w:val="center"/>
          </w:tcPr>
          <w:p>
            <w:pPr>
              <w:spacing w:after="40"/>
            </w:pPr>
            <w:r>
              <w:rPr>
                <w:rFonts w:ascii="Arial" w:cs="Arial" w:eastAsia="Arial" w:hAnsi="Arial"/>
                <w:b/>
                <w:bCs/>
                <w:color w:val="1B3A5C"/>
                <w:sz w:val="22"/>
                <w:szCs w:val="22"/>
              </w:rPr>
              <w:t xml:space="preserve">Total Build Time: 10–14 Weeks  |  Prototype Demo: Week 6  |  Pilot-Ready: Week 12  |  Production: Week 14</w:t>
            </w:r>
          </w:p>
        </w:tc>
      </w:tr>
    </w:tbl>
    <w:p>
      <w:pPr>
        <w:spacing w:after="120"/>
      </w:pPr>
    </w:p>
    <w:p>
      <w:pPr>
        <w:pStyle w:val="Heading2"/>
        <w:spacing w:before="280" w:after="160"/>
      </w:pPr>
      <w:r>
        <w:rPr>
          <w:rFonts w:ascii="Arial" w:cs="Arial" w:eastAsia="Arial" w:hAnsi="Arial"/>
          <w:b/>
          <w:bCs/>
          <w:color w:val="2E75B6"/>
          <w:sz w:val="26"/>
          <w:szCs w:val="26"/>
        </w:rPr>
        <w:t xml:space="preserve">7.1 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1200"/>
        <w:gridCol w:w="1800"/>
        <w:gridCol w:w="3226"/>
      </w:tblGrid>
      <w:tr>
        <w:tc>
          <w:tcPr>
            <w:tcW w:type="dxa" w:w="2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Role</w:t>
            </w:r>
          </w:p>
        </w:tc>
        <w:tc>
          <w:tcPr>
            <w:tcW w:type="dxa" w:w="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Count</w:t>
            </w:r>
          </w:p>
        </w:tc>
        <w:tc>
          <w:tcPr>
            <w:tcW w:type="dxa" w:w="1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Engagement</w:t>
            </w:r>
          </w:p>
        </w:tc>
        <w:tc>
          <w:tcPr>
            <w:tcW w:type="dxa" w:w="18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Monthly Cost (USD)</w:t>
            </w:r>
          </w:p>
        </w:tc>
        <w:tc>
          <w:tcPr>
            <w:tcW w:type="dxa" w:w="32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Total (3.5 months)</w:t>
            </w:r>
          </w:p>
        </w:tc>
      </w:tr>
      <w:tr>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Tech Lead / Full-Stack Developer</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Full-time</w:t>
            </w:r>
          </w:p>
        </w:tc>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$2,500–$3,500</w:t>
            </w:r>
          </w:p>
        </w:tc>
        <w:tc>
          <w:tcPr>
            <w:tcW w:type="dxa" w:w="3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$8,750–$12,250</w:t>
            </w:r>
          </w:p>
        </w:tc>
      </w:tr>
      <w:tr>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Full-Stack Developer</w:t>
            </w:r>
          </w:p>
        </w:tc>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1–2</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Full-time</w:t>
            </w:r>
          </w:p>
        </w:tc>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$1,800–$2,800 each</w:t>
            </w:r>
          </w:p>
        </w:tc>
        <w:tc>
          <w:tcPr>
            <w:tcW w:type="dxa" w:w="3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$6,300–$19,600</w:t>
            </w:r>
          </w:p>
        </w:tc>
      </w:tr>
      <w:tr>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Frontend Developer</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Full-time</w:t>
            </w:r>
          </w:p>
        </w:tc>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$1,500–$2,500</w:t>
            </w:r>
          </w:p>
        </w:tc>
        <w:tc>
          <w:tcPr>
            <w:tcW w:type="dxa" w:w="3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$5,250–$8,750</w:t>
            </w:r>
          </w:p>
        </w:tc>
      </w:tr>
      <w:tr>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 / Content Specialist</w:t>
            </w:r>
          </w:p>
        </w:tc>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w:t>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Part-time (0.5 FTE)</w:t>
            </w:r>
          </w:p>
        </w:tc>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$1,500–$3,000 (pro-rated)</w:t>
            </w:r>
          </w:p>
        </w:tc>
        <w:tc>
          <w:tcPr>
            <w:tcW w:type="dxa" w:w="3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$2,625–$5,250</w:t>
            </w:r>
          </w:p>
        </w:tc>
      </w:tr>
      <w:tr>
        <w:tc>
          <w:tcPr>
            <w:tcW w:type="dxa" w:w="2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Project Manager (Nera or delegate)</w:t>
            </w:r>
          </w:p>
        </w:tc>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w:t>
            </w:r>
          </w:p>
        </w:tc>
        <w:tc>
          <w:tcPr>
            <w:tcW w:type="dxa" w:w="1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Part-time</w:t>
            </w:r>
          </w:p>
        </w:tc>
        <w:tc>
          <w:tcPr>
            <w:tcW w:type="dxa" w:w="18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t>
            </w:r>
          </w:p>
        </w:tc>
        <w:tc>
          <w:tcPr>
            <w:tcW w:type="dxa" w:w="32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Internal</w:t>
            </w:r>
          </w:p>
        </w:tc>
      </w:tr>
      <w:tr>
        <w:tc>
          <w:tcPr>
            <w:tcW w:type="dxa" w:w="2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
            </w:r>
          </w:p>
        </w:tc>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
            </w:r>
          </w:p>
        </w:tc>
        <w:tc>
          <w:tcPr>
            <w:tcW w:type="dxa" w:w="1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
            </w:r>
          </w:p>
        </w:tc>
        <w:tc>
          <w:tcPr>
            <w:tcW w:type="dxa" w:w="18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TOTAL</w:t>
            </w:r>
          </w:p>
        </w:tc>
        <w:tc>
          <w:tcPr>
            <w:tcW w:type="dxa" w:w="32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$22,925–$45,850</w:t>
            </w:r>
          </w:p>
        </w:tc>
      </w:tr>
    </w:tbl>
    <w:p>
      <w:pPr>
        <w:spacing w:after="120"/>
      </w:pPr>
    </w:p>
    <w:p>
      <w:pPr>
        <w:pStyle w:val="Heading2"/>
        <w:spacing w:before="280" w:after="160"/>
      </w:pPr>
      <w:r>
        <w:rPr>
          <w:rFonts w:ascii="Arial" w:cs="Arial" w:eastAsia="Arial" w:hAnsi="Arial"/>
          <w:b/>
          <w:bCs/>
          <w:color w:val="2E75B6"/>
          <w:sz w:val="26"/>
          <w:szCs w:val="26"/>
        </w:rPr>
        <w:t xml:space="preserve">7.2 Sprint Plan (2-Week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4000"/>
        <w:gridCol w:w="3426"/>
      </w:tblGrid>
      <w:tr>
        <w:tc>
          <w:tcPr>
            <w:tcW w:type="dxa" w:w="9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Sprint</w:t>
            </w:r>
          </w:p>
        </w:tc>
        <w:tc>
          <w:tcPr>
            <w:tcW w:type="dxa" w:w="7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Weeks</w:t>
            </w:r>
          </w:p>
        </w:tc>
        <w:tc>
          <w:tcPr>
            <w:tcW w:type="dxa" w:w="40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Engineering Deliverables</w:t>
            </w:r>
          </w:p>
        </w:tc>
        <w:tc>
          <w:tcPr>
            <w:tcW w:type="dxa" w:w="34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Content Deliverables</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0</w:t>
            </w:r>
          </w:p>
        </w:tc>
        <w:tc>
          <w:tcPr>
            <w:tcW w:type="dxa" w:w="7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1–2</w:t>
            </w:r>
          </w:p>
        </w:tc>
        <w:tc>
          <w:tcPr>
            <w:tcW w:type="dxa" w:w="4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Project setup: repo, CI/CD, DB schema, auth module, basic UI shell, design system. Deploy to staging.</w:t>
            </w:r>
          </w:p>
        </w:tc>
        <w:tc>
          <w:tcPr>
            <w:tcW w:type="dxa" w:w="34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 begins 360 competency framework and Big Five item adaptation. Content brief for SJT scenarios.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1</w:t>
            </w:r>
          </w:p>
        </w:tc>
        <w:tc>
          <w:tcPr>
            <w:tcW w:type="dxa" w:w="7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3–4</w:t>
            </w:r>
          </w:p>
        </w:tc>
        <w:tc>
          <w:tcPr>
            <w:tcW w:type="dxa" w:w="4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Core org module, user management, competency library CRUD, assessment creation wizard (basic). 360 rater nomination flow.</w:t>
            </w:r>
          </w:p>
        </w:tc>
        <w:tc>
          <w:tcPr>
            <w:tcW w:type="dxa" w:w="34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behavioural items draft (v1). Big Five items draft (v1). Competency level descriptors (v1).</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2</w:t>
            </w:r>
          </w:p>
        </w:tc>
        <w:tc>
          <w:tcPr>
            <w:tcW w:type="dxa" w:w="7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5–6</w:t>
            </w:r>
          </w:p>
        </w:tc>
        <w:tc>
          <w:tcPr>
            <w:tcW w:type="dxa" w:w="4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rating interface (rater experience). Self-assessment interface. Scoring engine (360 aggregation, Big Five scoring). Basic admin dashboard.</w:t>
            </w:r>
          </w:p>
        </w:tc>
        <w:tc>
          <w:tcPr>
            <w:tcW w:type="dxa" w:w="34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SJT scenarios (first 8 drafted). 360 items reviewed and finalised. Begin personality report narrative templates.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DEMO</w:t>
            </w:r>
          </w:p>
        </w:tc>
        <w:tc>
          <w:tcPr>
            <w:tcW w:type="dxa" w:w="7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 6</w:t>
            </w:r>
          </w:p>
        </w:tc>
        <w:tc>
          <w:tcPr>
            <w:tcW w:type="dxa" w:w="4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Internal demo of 360 workflow end-to-end + personality assessment. Feedback from HR consultancy client.</w:t>
            </w:r>
          </w:p>
        </w:tc>
        <w:tc>
          <w:tcPr>
            <w:tcW w:type="dxa" w:w="34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Content review session with psychologist.</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3</w:t>
            </w:r>
          </w:p>
        </w:tc>
        <w:tc>
          <w:tcPr>
            <w:tcW w:type="dxa" w:w="7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7–8</w:t>
            </w:r>
          </w:p>
        </w:tc>
        <w:tc>
          <w:tcPr>
            <w:tcW w:type="dxa" w:w="4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360 report generation (PDF). Personality report generation. Competency assessment (self + manager). Manager rating interface.</w:t>
            </w:r>
          </w:p>
        </w:tc>
        <w:tc>
          <w:tcPr>
            <w:tcW w:type="dxa" w:w="34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SJT scenarios completed (15–20). Learning agility instrument. Competency report narrative templates.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4</w:t>
            </w:r>
          </w:p>
        </w:tc>
        <w:tc>
          <w:tcPr>
            <w:tcW w:type="dxa" w:w="7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9–10</w:t>
            </w:r>
          </w:p>
        </w:tc>
        <w:tc>
          <w:tcPr>
            <w:tcW w:type="dxa" w:w="4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Leadership Readiness module: SJT engine, composite scoring, readiness report. Admin analytics dashboard. Org-level views.</w:t>
            </w:r>
          </w:p>
        </w:tc>
        <w:tc>
          <w:tcPr>
            <w:tcW w:type="dxa" w:w="34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Sinhala translation (priority items). Report narrative finalisation. Pilot test preparation.</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5</w:t>
            </w:r>
          </w:p>
        </w:tc>
        <w:tc>
          <w:tcPr>
            <w:tcW w:type="dxa" w:w="7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11–12</w:t>
            </w:r>
          </w:p>
        </w:tc>
        <w:tc>
          <w:tcPr>
            <w:tcW w:type="dxa" w:w="40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Polish: mobile responsiveness, email templates, reminder automation, error handling, performance optimisation. Pilot deployment.</w:t>
            </w:r>
          </w:p>
        </w:tc>
        <w:tc>
          <w:tcPr>
            <w:tcW w:type="dxa" w:w="34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Pilot testing with 20–30 participants. Item analysis. Adjust content based on pilot data.</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Hardening</w:t>
            </w:r>
          </w:p>
        </w:tc>
        <w:tc>
          <w:tcPr>
            <w:tcW w:type="dxa" w:w="7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13–14</w:t>
            </w:r>
          </w:p>
        </w:tc>
        <w:tc>
          <w:tcPr>
            <w:tcW w:type="dxa" w:w="40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Security hardening, PDPA compliance checks, production deployment, load testing, documentation.</w:t>
            </w:r>
          </w:p>
        </w:tc>
        <w:tc>
          <w:tcPr>
            <w:tcW w:type="dxa" w:w="34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Normative baseline from pilot data. Final content corrections.</w:t>
            </w:r>
          </w:p>
        </w:tc>
      </w:tr>
    </w:tbl>
    <w:p>
      <w:r>
        <w:br w:type="page"/>
      </w:r>
    </w:p>
    <w:p>
      <w:pPr>
        <w:pStyle w:val="Heading2"/>
        <w:spacing w:before="280" w:after="160"/>
      </w:pPr>
      <w:r>
        <w:rPr>
          <w:rFonts w:ascii="Arial" w:cs="Arial" w:eastAsia="Arial" w:hAnsi="Arial"/>
          <w:b/>
          <w:bCs/>
          <w:color w:val="2E75B6"/>
          <w:sz w:val="26"/>
          <w:szCs w:val="26"/>
        </w:rPr>
        <w:t xml:space="preserve">7.3 Claude Code Acceleration Map</w:t>
      </w:r>
    </w:p>
    <w:p>
      <w:pPr>
        <w:spacing w:after="160" w:line="276"/>
        <w:jc w:val="both"/>
      </w:pPr>
      <w:r>
        <w:rPr>
          <w:rFonts w:ascii="Arial" w:cs="Arial" w:eastAsia="Arial" w:hAnsi="Arial"/>
          <w:color w:val="333333"/>
          <w:sz w:val="21"/>
          <w:szCs w:val="21"/>
        </w:rPr>
        <w:t xml:space="preserve">Here’s specifically what Claude Code does in each sprint to compress the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726"/>
      </w:tblGrid>
      <w:tr>
        <w:tc>
          <w:tcPr>
            <w:tcW w:type="dxa" w:w="9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Sprint</w:t>
            </w:r>
          </w:p>
        </w:tc>
        <w:tc>
          <w:tcPr>
            <w:tcW w:type="dxa" w:w="5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Claude Code High-Impact Tasks</w:t>
            </w:r>
          </w:p>
        </w:tc>
        <w:tc>
          <w:tcPr>
            <w:tcW w:type="dxa" w:w="27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Estimated Time Saved</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0</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entire NestJS project scaffold with modules, auth guards, JWT setup, DB entities, migration scripts, Docker configs, CI/CD pipeline YAML</w:t>
            </w:r>
          </w:p>
        </w:tc>
        <w:tc>
          <w:tcPr>
            <w:tcW w:type="dxa" w:w="27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3–4 days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1</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all CRUD endpoints for competencies, organisations, users, assessments. Generate React component library (forms, tables, modals, cards). Generate DB seed scripts.</w:t>
            </w:r>
          </w:p>
        </w:tc>
        <w:tc>
          <w:tcPr>
            <w:tcW w:type="dxa" w:w="27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4–5 days</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2</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the entire rater feedback interface (React). Generate scoring engine (statistical aggregation, mean/SD calculation, percentile mapping). Generate unit tests for scoring logic.</w:t>
            </w:r>
          </w:p>
        </w:tc>
        <w:tc>
          <w:tcPr>
            <w:tcW w:type="dxa" w:w="27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3–4 days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3</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PDF report templates (HTML → Puppeteer). Generate chart components (radar charts, gap analysis bars, heatmaps). Generate email notification templates.</w:t>
            </w:r>
          </w:p>
        </w:tc>
        <w:tc>
          <w:tcPr>
            <w:tcW w:type="dxa" w:w="27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4–5 days</w:t>
            </w:r>
          </w:p>
        </w:tc>
      </w:tr>
      <w:tr>
        <w:tc>
          <w:tcPr>
            <w:tcW w:type="dxa" w:w="9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4</w:t>
            </w:r>
          </w:p>
        </w:tc>
        <w:tc>
          <w:tcPr>
            <w:tcW w:type="dxa" w:w="5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SJT item display engine and scoring. Generate composite readiness scoring algorithm. Generate admin analytics dashboard with chart components.</w:t>
            </w:r>
          </w:p>
        </w:tc>
        <w:tc>
          <w:tcPr>
            <w:tcW w:type="dxa" w:w="27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3–4 days</w:t>
            </w:r>
          </w:p>
        </w:tc>
      </w:tr>
      <w:tr>
        <w:tc>
          <w:tcPr>
            <w:tcW w:type="dxa" w:w="9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Sprint 5</w:t>
            </w:r>
          </w:p>
        </w:tc>
        <w:tc>
          <w:tcPr>
            <w:tcW w:type="dxa" w:w="5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Generate automated test suite (E2E with Playwright). Generate Sinhala i18n files structure. Generate deployment scripts and environment configs.</w:t>
            </w:r>
          </w:p>
        </w:tc>
        <w:tc>
          <w:tcPr>
            <w:tcW w:type="dxa" w:w="27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2–3 days</w:t>
            </w:r>
          </w:p>
        </w:tc>
      </w:tr>
    </w:tbl>
    <w:p>
      <w:pPr>
        <w:spacing w:after="120"/>
      </w:pPr>
    </w:p>
    <w:p>
      <w:pPr>
        <w:spacing w:after="160" w:line="276"/>
        <w:jc w:val="both"/>
      </w:pPr>
      <w:r>
        <w:rPr>
          <w:rFonts w:ascii="Arial" w:cs="Arial" w:eastAsia="Arial" w:hAnsi="Arial"/>
          <w:b/>
          <w:bCs/>
          <w:color w:val="E8913A"/>
          <w:sz w:val="21"/>
          <w:szCs w:val="21"/>
        </w:rPr>
        <w:t xml:space="preserve">Total estimated time saved through Claude Code: 19–25 developer-days </w:t>
      </w:r>
      <w:r>
        <w:rPr>
          <w:rFonts w:ascii="Arial" w:cs="Arial" w:eastAsia="Arial" w:hAnsi="Arial"/>
          <w:color w:val="333333"/>
          <w:sz w:val="21"/>
          <w:szCs w:val="21"/>
        </w:rPr>
        <w:t xml:space="preserve">(approximately 4–5 weeks of single-developer effort compressed out of the timeline).</w:t>
      </w:r>
    </w:p>
    <w:p>
      <w:r>
        <w:br w:type="page"/>
      </w:r>
    </w:p>
    <w:p>
      <w:pPr>
        <w:pStyle w:val="Heading1"/>
        <w:spacing w:before="360" w:after="200"/>
      </w:pPr>
      <w:r>
        <w:rPr>
          <w:rFonts w:ascii="Arial" w:cs="Arial" w:eastAsia="Arial" w:hAnsi="Arial"/>
          <w:b/>
          <w:bCs/>
          <w:color w:val="1B3A5C"/>
          <w:sz w:val="32"/>
          <w:szCs w:val="32"/>
        </w:rPr>
        <w:t xml:space="preserve">8. Cost Summary</w:t>
      </w:r>
    </w:p>
    <w:p>
      <w:pPr>
        <w:pBdr>
          <w:bottom w:val="single" w:color="2E75B6" w:sz="3" w:space="1"/>
        </w:pBdr>
        <w:spacing w:before="20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Category</w:t>
            </w:r>
          </w:p>
        </w:tc>
        <w:tc>
          <w:tcPr>
            <w:tcW w:type="dxa" w:w="2763"/>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Low Estimate (USD)</w:t>
            </w:r>
          </w:p>
        </w:tc>
        <w:tc>
          <w:tcPr>
            <w:tcW w:type="dxa" w:w="2763"/>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High Estimate (USD)</w:t>
            </w:r>
          </w:p>
        </w:tc>
      </w:tr>
      <w:tr>
        <w:tc>
          <w:tcPr>
            <w:tcW w:type="dxa" w:w="35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Engineering Team (3.5 months)</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$20,300</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$40,600</w:t>
            </w:r>
          </w:p>
        </w:tc>
      </w:tr>
      <w:tr>
        <w:tc>
          <w:tcPr>
            <w:tcW w:type="dxa" w:w="35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IO Psychologist / Content (3.5 months)</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$2,625</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$5,250</w:t>
            </w:r>
          </w:p>
        </w:tc>
      </w:tr>
      <w:tr>
        <w:tc>
          <w:tcPr>
            <w:tcW w:type="dxa" w:w="35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Cloud Infrastructure (Dev + Staging + Prod)</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$600</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$1,400</w:t>
            </w:r>
          </w:p>
        </w:tc>
      </w:tr>
      <w:tr>
        <w:tc>
          <w:tcPr>
            <w:tcW w:type="dxa" w:w="35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Claude Code Licences</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$350</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$700</w:t>
            </w:r>
          </w:p>
        </w:tc>
      </w:tr>
      <w:tr>
        <w:tc>
          <w:tcPr>
            <w:tcW w:type="dxa" w:w="35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SendGrid / Twilio / SaaS Tools</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$200</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$500</w:t>
            </w:r>
          </w:p>
        </w:tc>
      </w:tr>
      <w:tr>
        <w:tc>
          <w:tcPr>
            <w:tcW w:type="dxa" w:w="35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Domain, SSL, Monitoring</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$100</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$200</w:t>
            </w:r>
          </w:p>
        </w:tc>
      </w:tr>
      <w:tr>
        <w:tc>
          <w:tcPr>
            <w:tcW w:type="dxa" w:w="35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Pilot Testing (participant incentives, etc.)</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$500</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$1,500</w:t>
            </w:r>
          </w:p>
        </w:tc>
      </w:tr>
      <w:tr>
        <w:tc>
          <w:tcPr>
            <w:tcW w:type="dxa" w:w="35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Contingency (15%)</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$3,700</w:t>
            </w:r>
          </w:p>
        </w:tc>
        <w:tc>
          <w:tcPr>
            <w:tcW w:type="dxa" w:w="2763"/>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$7,500</w:t>
            </w:r>
          </w:p>
        </w:tc>
      </w:tr>
      <w:tr>
        <w:tc>
          <w:tcPr>
            <w:tcW w:type="dxa" w:w="35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TOTAL MVP INVESTMENT</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$28,375</w:t>
            </w:r>
          </w:p>
        </w:tc>
        <w:tc>
          <w:tcPr>
            <w:tcW w:type="dxa" w:w="2763"/>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$57,650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CED6" w:sz="1"/>
              <w:left w:val="single" w:color="C5CED6" w:sz="1"/>
              <w:bottom w:val="single" w:color="C5CED6" w:sz="1"/>
              <w:right w:val="single" w:color="C5CED6" w:sz="1"/>
            </w:tcBorders>
            <w:shd w:fill="F0F4F8" w:val="clear"/>
            <w:tcMar>
              <w:top w:type="dxa" w:w="160"/>
              <w:left w:type="dxa" w:w="240"/>
              <w:bottom w:type="dxa" w:w="160"/>
              <w:right w:type="dxa" w:w="240"/>
            </w:tcMar>
            <w:vAlign w:val="center"/>
          </w:tcPr>
          <w:p>
            <w:pPr>
              <w:spacing w:after="40"/>
            </w:pPr>
            <w:r>
              <w:rPr>
                <w:rFonts w:ascii="Arial" w:cs="Arial" w:eastAsia="Arial" w:hAnsi="Arial"/>
                <w:b/>
                <w:bCs/>
                <w:color w:val="1B3A5C"/>
                <w:sz w:val="22"/>
                <w:szCs w:val="22"/>
              </w:rPr>
              <w:t xml:space="preserve">Realistic Mid-Range Estimate: USD 35,000–45,000 (approximately LKR 10.5M–13.5M)</w:t>
            </w:r>
          </w:p>
        </w:tc>
      </w:tr>
    </w:tbl>
    <w:p>
      <w:pPr>
        <w:spacing w:after="120"/>
      </w:pPr>
    </w:p>
    <w:p>
      <w:pPr>
        <w:spacing w:after="160" w:line="276"/>
        <w:jc w:val="both"/>
      </w:pPr>
      <w:r>
        <w:rPr>
          <w:rFonts w:ascii="Arial" w:cs="Arial" w:eastAsia="Arial" w:hAnsi="Arial"/>
          <w:color w:val="333333"/>
          <w:sz w:val="21"/>
          <w:szCs w:val="21"/>
        </w:rPr>
        <w:t xml:space="preserve">This is roughly 10% of the full platform cost estimated in the earlier document, delivering 80% of the commercial value. The HR consultancy can start billing clients with this MVP while you build out additional modules based on actual market demand.</w:t>
      </w:r>
    </w:p>
    <w:p>
      <w:r>
        <w:br w:type="page"/>
      </w:r>
    </w:p>
    <w:p>
      <w:pPr>
        <w:pStyle w:val="Heading1"/>
        <w:spacing w:before="360" w:after="200"/>
      </w:pPr>
      <w:r>
        <w:rPr>
          <w:rFonts w:ascii="Arial" w:cs="Arial" w:eastAsia="Arial" w:hAnsi="Arial"/>
          <w:b/>
          <w:bCs/>
          <w:color w:val="1B3A5C"/>
          <w:sz w:val="32"/>
          <w:szCs w:val="32"/>
        </w:rPr>
        <w:t xml:space="preserve">9. Post-MVP Expansion Path</w:t>
      </w:r>
    </w:p>
    <w:p>
      <w:pPr>
        <w:pBdr>
          <w:bottom w:val="single" w:color="2E75B6" w:sz="3" w:space="1"/>
        </w:pBdr>
        <w:spacing w:before="200" w:after="200"/>
      </w:pPr>
    </w:p>
    <w:p>
      <w:pPr>
        <w:spacing w:after="160" w:line="276"/>
        <w:jc w:val="both"/>
      </w:pPr>
      <w:r>
        <w:rPr>
          <w:rFonts w:ascii="Arial" w:cs="Arial" w:eastAsia="Arial" w:hAnsi="Arial"/>
          <w:color w:val="333333"/>
          <w:sz w:val="21"/>
          <w:szCs w:val="21"/>
        </w:rPr>
        <w:t xml:space="preserve">Once the MVP is deployed and generating revenue with initial clients, expansion priorities should be driven by actual client demand, not speculative feature building. Based on market patterns, the likely expansion sequence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3826"/>
      </w:tblGrid>
      <w:tr>
        <w:tc>
          <w:tcPr>
            <w:tcW w:type="dxa" w:w="6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Priority</w:t>
            </w:r>
          </w:p>
        </w:tc>
        <w:tc>
          <w:tcPr>
            <w:tcW w:type="dxa" w:w="32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Feature / Module</w:t>
            </w:r>
          </w:p>
        </w:tc>
        <w:tc>
          <w:tcPr>
            <w:tcW w:type="dxa" w:w="1400"/>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Timeline After MVP</w:t>
            </w:r>
          </w:p>
        </w:tc>
        <w:tc>
          <w:tcPr>
            <w:tcW w:type="dxa" w:w="3826"/>
            <w:tcBorders>
              <w:top w:val="single" w:color="C5CED6" w:sz="1"/>
              <w:left w:val="single" w:color="C5CED6" w:sz="1"/>
              <w:bottom w:val="single" w:color="C5CED6" w:sz="1"/>
              <w:right w:val="single" w:color="C5CED6" w:sz="1"/>
            </w:tcBorders>
            <w:shd w:fill="1B3A5C" w:val="clear"/>
            <w:tcMar>
              <w:top w:type="dxa" w:w="80"/>
              <w:left w:type="dxa" w:w="120"/>
              <w:bottom w:type="dxa" w:w="80"/>
              <w:right w:type="dxa" w:w="120"/>
            </w:tcMar>
            <w:vAlign w:val="center"/>
          </w:tcPr>
          <w:p>
            <w:pPr>
              <w:spacing w:after="40"/>
            </w:pPr>
            <w:r>
              <w:rPr>
                <w:rFonts w:ascii="Arial" w:cs="Arial" w:eastAsia="Arial" w:hAnsi="Arial"/>
                <w:b/>
                <w:bCs/>
                <w:color w:val="FFFFFF"/>
                <w:sz w:val="20"/>
                <w:szCs w:val="20"/>
              </w:rPr>
              <w:t xml:space="preserve">Trigger</w:t>
            </w:r>
          </w:p>
        </w:tc>
      </w:tr>
      <w:tr>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1</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Advanced 360 reporting (benchmark comparisons, trend analysis for repeat assessments)</w:t>
            </w:r>
          </w:p>
        </w:tc>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1–4</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First client asks to re-run 360s after 6 months</w:t>
            </w:r>
          </w:p>
        </w:tc>
      </w:tr>
      <w:tr>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2</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Additional competency frameworks (industry-specific: banking, IT, manufacturing)</w:t>
            </w:r>
          </w:p>
        </w:tc>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2–6</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New client in a different industry onboards</w:t>
            </w:r>
          </w:p>
        </w:tc>
      </w:tr>
      <w:tr>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3</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Tamil language support</w:t>
            </w:r>
          </w:p>
        </w:tc>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Weeks 4–8</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Client with Tamil-speaking workforce requests it</w:t>
            </w:r>
          </w:p>
        </w:tc>
      </w:tr>
      <w:tr>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4</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Scenario-based SJT expansion (video vignettes, branching scenarios)</w:t>
            </w:r>
          </w:p>
        </w:tc>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2–4</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Client asks for more immersive assessment experience</w:t>
            </w:r>
          </w:p>
        </w:tc>
      </w:tr>
      <w:tr>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5</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Development planning module (IDP generation, learning resource links)</w:t>
            </w:r>
          </w:p>
        </w:tc>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2–4</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Clients ask “What do we do with the results?”</w:t>
            </w:r>
          </w:p>
        </w:tc>
      </w:tr>
      <w:tr>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6</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Team dynamics assessment</w:t>
            </w:r>
          </w:p>
        </w:tc>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3–5</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Client asks to assess intact leadership teams, not just individuals</w:t>
            </w:r>
          </w:p>
        </w:tc>
      </w:tr>
      <w:tr>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7</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White-label / multi-client management</w:t>
            </w:r>
          </w:p>
        </w:tc>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4–6</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HR consultancy acquires 5+ active clients on the platform</w:t>
            </w:r>
          </w:p>
        </w:tc>
      </w:tr>
      <w:tr>
        <w:tc>
          <w:tcPr>
            <w:tcW w:type="dxa" w:w="6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8</w:t>
            </w:r>
          </w:p>
        </w:tc>
        <w:tc>
          <w:tcPr>
            <w:tcW w:type="dxa" w:w="32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Custom assessment builder</w:t>
            </w:r>
          </w:p>
        </w:tc>
        <w:tc>
          <w:tcPr>
            <w:tcW w:type="dxa" w:w="1400"/>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5–8</w:t>
            </w:r>
          </w:p>
        </w:tc>
        <w:tc>
          <w:tcPr>
            <w:tcW w:type="dxa" w:w="3826"/>
            <w:tcBorders>
              <w:top w:val="single" w:color="C5CED6" w:sz="1"/>
              <w:left w:val="single" w:color="C5CED6" w:sz="1"/>
              <w:bottom w:val="single" w:color="C5CED6" w:sz="1"/>
              <w:right w:val="single" w:color="C5CED6" w:sz="1"/>
            </w:tcBorders>
            <w:shd w:fill="FFFFFF"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HR consultancy wants to create their own proprietary instruments</w:t>
            </w:r>
          </w:p>
        </w:tc>
      </w:tr>
      <w:tr>
        <w:tc>
          <w:tcPr>
            <w:tcW w:type="dxa" w:w="6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9</w:t>
            </w:r>
          </w:p>
        </w:tc>
        <w:tc>
          <w:tcPr>
            <w:tcW w:type="dxa" w:w="32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AI features (narrative generation, predictive scoring)</w:t>
            </w:r>
          </w:p>
        </w:tc>
        <w:tc>
          <w:tcPr>
            <w:tcW w:type="dxa" w:w="1400"/>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Months 4–8</w:t>
            </w:r>
          </w:p>
        </w:tc>
        <w:tc>
          <w:tcPr>
            <w:tcW w:type="dxa" w:w="3826"/>
            <w:tcBorders>
              <w:top w:val="single" w:color="C5CED6" w:sz="1"/>
              <w:left w:val="single" w:color="C5CED6" w:sz="1"/>
              <w:bottom w:val="single" w:color="C5CED6" w:sz="1"/>
              <w:right w:val="single" w:color="C5CED6" w:sz="1"/>
            </w:tcBorders>
            <w:shd w:fill="F0F4F8" w:val="clear"/>
            <w:tcMar>
              <w:top w:type="dxa" w:w="80"/>
              <w:left w:type="dxa" w:w="120"/>
              <w:bottom w:type="dxa" w:w="80"/>
              <w:right w:type="dxa" w:w="120"/>
            </w:tcMar>
            <w:vAlign w:val="center"/>
          </w:tcPr>
          <w:p>
            <w:pPr>
              <w:spacing w:after="40"/>
            </w:pPr>
            <w:r>
              <w:rPr>
                <w:rFonts w:ascii="Arial" w:cs="Arial" w:eastAsia="Arial" w:hAnsi="Arial"/>
                <w:b w:val="false"/>
                <w:bCs w:val="false"/>
                <w:color w:val="333333"/>
                <w:sz w:val="20"/>
                <w:szCs w:val="20"/>
              </w:rPr>
              <w:t xml:space="preserve">Competitive pressure or client demand for AI-enhanced insights</w:t>
            </w:r>
          </w:p>
        </w:tc>
      </w:tr>
    </w:tbl>
    <w:p>
      <w:pPr>
        <w:spacing w:after="300"/>
      </w:pPr>
    </w:p>
    <w:p>
      <w:pPr>
        <w:pBdr>
          <w:bottom w:val="single" w:color="2E75B6" w:sz="3" w:space="1"/>
        </w:pBdr>
        <w:spacing w:before="200" w:after="200"/>
      </w:pPr>
    </w:p>
    <w:p>
      <w:pPr>
        <w:spacing w:after="120"/>
        <w:jc w:val="center"/>
      </w:pPr>
      <w:r>
        <w:rPr>
          <w:rFonts w:ascii="Arial" w:cs="Arial" w:eastAsia="Arial" w:hAnsi="Arial"/>
          <w:b/>
          <w:bCs/>
          <w:color w:val="2E75B6"/>
          <w:sz w:val="22"/>
          <w:szCs w:val="22"/>
        </w:rPr>
        <w:t xml:space="preserve">END OF DOCUMENT</w:t>
      </w:r>
    </w:p>
    <w:p>
      <w:pPr>
        <w:spacing w:after="80"/>
        <w:jc w:val="center"/>
      </w:pPr>
      <w:r>
        <w:rPr>
          <w:rFonts w:ascii="Arial" w:cs="Arial" w:eastAsia="Arial" w:hAnsi="Arial"/>
          <w:i/>
          <w:iCs/>
          <w:color w:val="555555"/>
          <w:sz w:val="18"/>
          <w:szCs w:val="18"/>
        </w:rPr>
        <w:t xml:space="preserve">© 2026 TechNeura Consulting (Pvt) Ltd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jc w:val="center"/>
    </w:pPr>
    <w:r>
      <w:rPr>
        <w:rFonts w:ascii="Arial" w:cs="Arial" w:eastAsia="Arial" w:hAnsi="Arial"/>
        <w:color w:val="555555"/>
        <w:sz w:val="16"/>
        <w:szCs w:val="16"/>
      </w:rPr>
      <w:t xml:space="preserve">© 2026 TechNeura Consulting (Pvt) Ltd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555555"/>
        <w:sz w:val="16"/>
        <w:szCs w:val="16"/>
      </w:rPr>
      <w:t xml:space="preserve">LeaderPrism MVP — Prototype Design Document</w:t>
    </w:r>
    <w:r>
      <w:rPr>
        <w:rFonts w:ascii="Arial" w:cs="Arial" w:eastAsia="Arial" w:hAnsi="Arial"/>
        <w:color w:val="C5CED6"/>
        <w:sz w:val="16"/>
        <w:szCs w:val="16"/>
      </w:rPr>
      <w:t xml:space="preserve">  |  </w:t>
    </w:r>
    <w:r>
      <w:rPr>
        <w:rFonts w:ascii="Arial" w:cs="Arial" w:eastAsia="Arial" w:hAnsi="Arial"/>
        <w:b/>
        <w:bCs/>
        <w:color w:val="E8913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2026-03-24T14:58:46.889Z</dcterms:created>
  <dcterms:modified xsi:type="dcterms:W3CDTF">2026-03-24T14:58:46.890Z</dcterms:modified>
</cp:coreProperties>
</file>

<file path=docProps/custom.xml><?xml version="1.0" encoding="utf-8"?>
<Properties xmlns="http://schemas.openxmlformats.org/officeDocument/2006/custom-properties" xmlns:vt="http://schemas.openxmlformats.org/officeDocument/2006/docPropsVTypes"/>
</file>