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888888"/>
          <w:sz w:val="18"/>
          <w:szCs w:val="18"/>
        </w:rPr>
        <w:t xml:space="preserve">HARD TIER — CASE STUDY</w:t>
      </w:r>
    </w:p>
    <w:p>
      <w:pPr>
        <w:spacing w:after="80"/>
      </w:pPr>
      <w:r>
        <w:rPr>
          <w:rFonts w:ascii="Calibri" w:cs="Calibri" w:eastAsia="Calibri" w:hAnsi="Calibri"/>
          <w:b/>
          <w:bCs/>
          <w:color w:val="0A2540"/>
          <w:sz w:val="46"/>
          <w:szCs w:val="46"/>
        </w:rPr>
        <w:t xml:space="preserve">Google Ads Management</w:t>
      </w:r>
    </w:p>
    <w:p>
      <w:pPr>
        <w:spacing w:after="80"/>
      </w:pPr>
      <w:r>
        <w:rPr>
          <w:rFonts w:ascii="Calibri" w:cs="Calibri" w:eastAsia="Calibri" w:hAnsi="Calibri"/>
          <w:i/>
          <w:iCs/>
          <w:color w:val="555555"/>
          <w:sz w:val="22"/>
          <w:szCs w:val="22"/>
        </w:rPr>
        <w:t xml:space="preserve">How a B2B HR SaaS brand cut cost-per-lead by 41% and achieved 4.2× ROAS in 90 days</w:t>
      </w:r>
    </w:p>
    <w:p>
      <w:pPr>
        <w:spacing w:after="80"/>
      </w:pPr>
      <w:r>
        <w:rPr>
          <w:rFonts w:ascii="Calibri" w:cs="Calibri" w:eastAsia="Calibri" w:hAnsi="Calibri"/>
          <w:color w:val="64748B"/>
          <w:sz w:val="20"/>
          <w:szCs w:val="20"/>
        </w:rPr>
        <w:t xml:space="preserve">🏢 CoreHive HR Sdn Bhd   |   💻 HR &amp; Payroll SaaS   |   📍 KL Sentral, Kuala Lumpur   |   📅 Jan – Mar 2026</w:t>
      </w:r>
    </w:p>
    <w:p>
      <w:pPr>
        <w:pBdr>
          <w:bottom w:val="single" w:color="0A2540" w:sz="8"/>
        </w:pBdr>
        <w:spacing w:after="40" w:before="4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4.2×</w:t>
            </w:r>
          </w:p>
          <w:p>
            <w:pPr>
              <w:jc w:val="center"/>
            </w:pPr>
            <w:r>
              <w:rPr>
                <w:rFonts w:ascii="Calibri" w:cs="Calibri" w:eastAsia="Calibri" w:hAnsi="Calibri"/>
                <w:color w:val="555555"/>
                <w:sz w:val="20"/>
                <w:szCs w:val="20"/>
              </w:rPr>
              <w:t xml:space="preserve">ROAS Achieved (vs 1.8× before)</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-41%</w:t>
            </w:r>
          </w:p>
          <w:p>
            <w:pPr>
              <w:jc w:val="center"/>
            </w:pPr>
            <w:r>
              <w:rPr>
                <w:rFonts w:ascii="Calibri" w:cs="Calibri" w:eastAsia="Calibri" w:hAnsi="Calibri"/>
                <w:color w:val="555555"/>
                <w:sz w:val="20"/>
                <w:szCs w:val="20"/>
              </w:rPr>
              <w:t xml:space="preserve">Cost Per Lead Reduction</w:t>
            </w:r>
          </w:p>
        </w:tc>
        <w:tc>
          <w:tcPr>
            <w:tcBorders>
              <w:top w:val="single" w:color="FECACA" w:sz="4"/>
              <w:left w:val="single" w:color="FECACA" w:sz="4"/>
              <w:bottom w:val="single" w:color="FECACA" w:sz="4"/>
              <w:right w:val="single" w:color="FECACA" w:sz="4"/>
            </w:tcBorders>
            <w:shd w:fill="FEF2F2" w:color="auto" w:val="clear"/>
            <w:tcMar>
              <w:top w:type="dxa" w:w="172"/>
              <w:left w:type="dxa" w:w="144"/>
              <w:bottom w:type="dxa" w:w="172"/>
              <w:right w:type="dxa" w:w="144"/>
            </w:tcMar>
          </w:tcPr>
          <w:p>
            <w:pPr>
              <w:spacing w:after="40"/>
              <w:jc w:val="center"/>
            </w:pPr>
            <w:r>
              <w:rPr>
                <w:rFonts w:ascii="Calibri" w:cs="Calibri" w:eastAsia="Calibri" w:hAnsi="Calibri"/>
                <w:b/>
                <w:bCs/>
                <w:color w:val="DC2626"/>
                <w:sz w:val="40"/>
                <w:szCs w:val="40"/>
              </w:rPr>
              <w:t xml:space="preserve">3.9%</w:t>
            </w:r>
          </w:p>
          <w:p>
            <w:pPr>
              <w:jc w:val="center"/>
            </w:pPr>
            <w:r>
              <w:rPr>
                <w:rFonts w:ascii="Calibri" w:cs="Calibri" w:eastAsia="Calibri" w:hAnsi="Calibri"/>
                <w:color w:val="555555"/>
                <w:sz w:val="20"/>
                <w:szCs w:val="20"/>
              </w:rPr>
              <w:t xml:space="preserve">Average Click-Through Rate</w:t>
            </w:r>
          </w:p>
        </w:tc>
      </w:tr>
    </w:tbl>
    <w:p>
      <w:pPr>
        <w:spacing w:after="12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Overview</w:t>
      </w:r>
    </w:p>
    <w:p>
      <w:pPr>
        <w:spacing w:after="100"/>
      </w:pPr>
      <w:r>
        <w:rPr>
          <w:rFonts w:ascii="Calibri" w:cs="Calibri" w:eastAsia="Calibri" w:hAnsi="Calibri"/>
          <w:color w:val="333333"/>
          <w:sz w:val="22"/>
          <w:szCs w:val="22"/>
        </w:rPr>
        <w:t xml:space="preserve">CoreHive HR is a Malaysian SaaS company offering cloud-based HR, payroll, and attendance management software for SMEs. Their existing Google Ads account was spending RM8,000/month with an average ROAS of 1.8× and a cost-per-lead of RM210 — unsustainable for a bootstrapped SaaS with a RM450 average contract value.</w:t>
      </w:r>
    </w:p>
    <w:p>
      <w:pPr>
        <w:spacing w:after="100"/>
      </w:pPr>
      <w:r>
        <w:rPr>
          <w:rFonts w:ascii="Calibri" w:cs="Calibri" w:eastAsia="Calibri" w:hAnsi="Calibri"/>
          <w:color w:val="333333"/>
          <w:sz w:val="22"/>
          <w:szCs w:val="22"/>
        </w:rPr>
        <w:t xml:space="preserve">The account had been built incrementally over two years without a coherent structure: broad match keywords with no negatives, ad groups mixing unrelated intent, and no conversion tracking linked to actual trials or demos. Budget was being absorbed by irrelevant clicks from job seekers searching for 'HR jobs' rather than HR software buyers.</w:t>
      </w:r>
    </w:p>
    <w:p>
      <w:pPr>
        <w:spacing w:after="100"/>
      </w:pPr>
      <w:r>
        <w:rPr>
          <w:rFonts w:ascii="Calibri" w:cs="Calibri" w:eastAsia="Calibri" w:hAnsi="Calibri"/>
          <w:color w:val="333333"/>
          <w:sz w:val="22"/>
          <w:szCs w:val="22"/>
        </w:rPr>
        <w:t xml:space="preserve">TechNext Asia rebuilt the entire account from scratch — restructuring campaigns by buyer intent, rewriting all ad copy, implementing proper conversion tracking, and running a weekly bid optimisation cycle across a 90-day managed engagement.</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The Challenge</w:t>
      </w:r>
    </w:p>
    <w:p>
      <w:pPr>
        <w:pStyle w:val="ListParagraph"/>
        <w:numPr>
          <w:ilvl w:val="0"/>
          <w:numId w:val="1"/>
        </w:numPr>
        <w:spacing w:after="80"/>
      </w:pPr>
      <w:r>
        <w:rPr>
          <w:rFonts w:ascii="Calibri" w:cs="Calibri" w:eastAsia="Calibri" w:hAnsi="Calibri"/>
          <w:color w:val="333333"/>
          <w:sz w:val="22"/>
          <w:szCs w:val="22"/>
        </w:rPr>
        <w:t xml:space="preserve">Account running broad match keywords with no negative list — significant budget wasted on non-buyer queries</w:t>
      </w:r>
    </w:p>
    <w:p>
      <w:pPr>
        <w:pStyle w:val="ListParagraph"/>
        <w:numPr>
          <w:ilvl w:val="0"/>
          <w:numId w:val="1"/>
        </w:numPr>
        <w:spacing w:after="80"/>
      </w:pPr>
      <w:r>
        <w:rPr>
          <w:rFonts w:ascii="Calibri" w:cs="Calibri" w:eastAsia="Calibri" w:hAnsi="Calibri"/>
          <w:color w:val="333333"/>
          <w:sz w:val="22"/>
          <w:szCs w:val="22"/>
        </w:rPr>
        <w:t xml:space="preserve">Zero conversion tracking — no visibility into which campaigns, ad groups, or keywords generated actual trials</w:t>
      </w:r>
    </w:p>
    <w:p>
      <w:pPr>
        <w:pStyle w:val="ListParagraph"/>
        <w:numPr>
          <w:ilvl w:val="0"/>
          <w:numId w:val="1"/>
        </w:numPr>
        <w:spacing w:after="80"/>
      </w:pPr>
      <w:r>
        <w:rPr>
          <w:rFonts w:ascii="Calibri" w:cs="Calibri" w:eastAsia="Calibri" w:hAnsi="Calibri"/>
          <w:color w:val="333333"/>
          <w:sz w:val="22"/>
          <w:szCs w:val="22"/>
        </w:rPr>
        <w:t xml:space="preserve">Average CPA of RM210 against a RM450 ACV made unit economics unsustainable</w:t>
      </w:r>
    </w:p>
    <w:p>
      <w:pPr>
        <w:pStyle w:val="ListParagraph"/>
        <w:numPr>
          <w:ilvl w:val="0"/>
          <w:numId w:val="1"/>
        </w:numPr>
        <w:spacing w:after="80"/>
      </w:pPr>
      <w:r>
        <w:rPr>
          <w:rFonts w:ascii="Calibri" w:cs="Calibri" w:eastAsia="Calibri" w:hAnsi="Calibri"/>
          <w:color w:val="333333"/>
          <w:sz w:val="22"/>
          <w:szCs w:val="22"/>
        </w:rPr>
        <w:t xml:space="preserve">Ad copy was generic ('Best HR Software Malaysia') with no differentiation or pain-point hooks</w:t>
      </w:r>
    </w:p>
    <w:p>
      <w:pPr>
        <w:pStyle w:val="ListParagraph"/>
        <w:numPr>
          <w:ilvl w:val="0"/>
          <w:numId w:val="1"/>
        </w:numPr>
        <w:spacing w:after="80"/>
      </w:pPr>
      <w:r>
        <w:rPr>
          <w:rFonts w:ascii="Calibri" w:cs="Calibri" w:eastAsia="Calibri" w:hAnsi="Calibri"/>
          <w:color w:val="333333"/>
          <w:sz w:val="22"/>
          <w:szCs w:val="22"/>
        </w:rPr>
        <w:t xml:space="preserve">No audience segmentation — SME buyers, enterprise HR managers, and job seekers all pooled together</w:t>
      </w:r>
    </w:p>
    <w:p>
      <w:pPr>
        <w:pStyle w:val="ListParagraph"/>
        <w:numPr>
          <w:ilvl w:val="0"/>
          <w:numId w:val="1"/>
        </w:numPr>
        <w:spacing w:after="80"/>
      </w:pPr>
      <w:r>
        <w:rPr>
          <w:rFonts w:ascii="Calibri" w:cs="Calibri" w:eastAsia="Calibri" w:hAnsi="Calibri"/>
          <w:color w:val="333333"/>
          <w:sz w:val="22"/>
          <w:szCs w:val="22"/>
        </w:rPr>
        <w:t xml:space="preserve">Landing page had no clear CTA above the fold and a 6-field form reducing trial sign-up rate</w:t>
      </w:r>
    </w:p>
    <w:p>
      <w:pPr>
        <w:pStyle w:val="ListParagraph"/>
        <w:numPr>
          <w:ilvl w:val="0"/>
          <w:numId w:val="1"/>
        </w:numPr>
        <w:spacing w:after="80"/>
      </w:pPr>
      <w:r>
        <w:rPr>
          <w:rFonts w:ascii="Calibri" w:cs="Calibri" w:eastAsia="Calibri" w:hAnsi="Calibri"/>
          <w:color w:val="333333"/>
          <w:sz w:val="22"/>
          <w:szCs w:val="22"/>
        </w:rPr>
        <w:t xml:space="preserve">Competitor ads dominating 3 of the top 4 keyword clusters with stronger copy and extensions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Our 3-Phase Approach</w:t>
      </w:r>
    </w:p>
    <w:p>
      <w:pPr>
        <w:spacing w:after="80" w:before="200"/>
      </w:pPr>
      <w:r>
        <w:rPr>
          <w:rFonts w:ascii="Calibri" w:cs="Calibri" w:eastAsia="Calibri" w:hAnsi="Calibri"/>
          <w:b/>
          <w:bCs/>
          <w:color w:val="FFFFFF"/>
          <w:sz w:val="20"/>
          <w:szCs w:val="20"/>
          <w:shd w:fill="DC2626" w:color="auto" w:val="clear"/>
        </w:rPr>
        <w:t xml:space="preserve">Week 1–2</w:t>
      </w:r>
      <w:r>
        <w:rPr>
          <w:rFonts w:ascii="Calibri" w:cs="Calibri" w:eastAsia="Calibri" w:hAnsi="Calibri"/>
          <w:b/>
          <w:bCs/>
          <w:color w:val="0A2540"/>
          <w:sz w:val="22"/>
          <w:szCs w:val="22"/>
        </w:rPr>
        <w:t xml:space="preserve">   Account Rebuild &amp; Tracking Setup</w:t>
      </w:r>
    </w:p>
    <w:p>
      <w:pPr>
        <w:pStyle w:val="ListParagraph"/>
        <w:numPr>
          <w:ilvl w:val="0"/>
          <w:numId w:val="1"/>
        </w:numPr>
        <w:spacing w:after="70"/>
        <w:ind w:left="288"/>
      </w:pPr>
      <w:r>
        <w:rPr>
          <w:rFonts w:ascii="Calibri" w:cs="Calibri" w:eastAsia="Calibri" w:hAnsi="Calibri"/>
          <w:color w:val="444444"/>
          <w:sz w:val="21"/>
          <w:szCs w:val="21"/>
        </w:rPr>
        <w:t xml:space="preserve">Linked Google Ads to GA4 — created 4 conversion events: Free Trial, Demo Request, Contact Form, Pricing Page View</w:t>
      </w:r>
    </w:p>
    <w:p>
      <w:pPr>
        <w:pStyle w:val="ListParagraph"/>
        <w:numPr>
          <w:ilvl w:val="0"/>
          <w:numId w:val="1"/>
        </w:numPr>
        <w:spacing w:after="70"/>
        <w:ind w:left="288"/>
      </w:pPr>
      <w:r>
        <w:rPr>
          <w:rFonts w:ascii="Calibri" w:cs="Calibri" w:eastAsia="Calibri" w:hAnsi="Calibri"/>
          <w:color w:val="444444"/>
          <w:sz w:val="21"/>
          <w:szCs w:val="21"/>
        </w:rPr>
        <w:t xml:space="preserve">Rebuilt campaign structure: 3 intent tiers — Brand, Competitor, Solution-Aware with separate budgets</w:t>
      </w:r>
    </w:p>
    <w:p>
      <w:pPr>
        <w:pStyle w:val="ListParagraph"/>
        <w:numPr>
          <w:ilvl w:val="0"/>
          <w:numId w:val="1"/>
        </w:numPr>
        <w:spacing w:after="70"/>
        <w:ind w:left="288"/>
      </w:pPr>
      <w:r>
        <w:rPr>
          <w:rFonts w:ascii="Calibri" w:cs="Calibri" w:eastAsia="Calibri" w:hAnsi="Calibri"/>
          <w:color w:val="444444"/>
          <w:sz w:val="21"/>
          <w:szCs w:val="21"/>
        </w:rPr>
        <w:t xml:space="preserve">Added 85-keyword negative list including job titles, HR department queries, and unrelated software terms</w:t>
      </w:r>
    </w:p>
    <w:p>
      <w:pPr>
        <w:pStyle w:val="ListParagraph"/>
        <w:numPr>
          <w:ilvl w:val="0"/>
          <w:numId w:val="1"/>
        </w:numPr>
        <w:spacing w:after="70"/>
        <w:ind w:left="288"/>
      </w:pPr>
      <w:r>
        <w:rPr>
          <w:rFonts w:ascii="Calibri" w:cs="Calibri" w:eastAsia="Calibri" w:hAnsi="Calibri"/>
          <w:color w:val="444444"/>
          <w:sz w:val="21"/>
          <w:szCs w:val="21"/>
        </w:rPr>
        <w:t xml:space="preserve">Switched all keywords to Phrase and Exact match — eliminated broad match entirely</w:t>
      </w:r>
    </w:p>
    <w:p>
      <w:pPr>
        <w:spacing w:after="80" w:before="200"/>
      </w:pPr>
      <w:r>
        <w:rPr>
          <w:rFonts w:ascii="Calibri" w:cs="Calibri" w:eastAsia="Calibri" w:hAnsi="Calibri"/>
          <w:b/>
          <w:bCs/>
          <w:color w:val="FFFFFF"/>
          <w:sz w:val="20"/>
          <w:szCs w:val="20"/>
          <w:shd w:fill="DC2626" w:color="auto" w:val="clear"/>
        </w:rPr>
        <w:t xml:space="preserve">Week 3–6</w:t>
      </w:r>
      <w:r>
        <w:rPr>
          <w:rFonts w:ascii="Calibri" w:cs="Calibri" w:eastAsia="Calibri" w:hAnsi="Calibri"/>
          <w:b/>
          <w:bCs/>
          <w:color w:val="0A2540"/>
          <w:sz w:val="22"/>
          <w:szCs w:val="22"/>
        </w:rPr>
        <w:t xml:space="preserve">   Ad Copy &amp; Landing Page Optimisation</w:t>
      </w:r>
    </w:p>
    <w:p>
      <w:pPr>
        <w:pStyle w:val="ListParagraph"/>
        <w:numPr>
          <w:ilvl w:val="0"/>
          <w:numId w:val="1"/>
        </w:numPr>
        <w:spacing w:after="70"/>
        <w:ind w:left="288"/>
      </w:pPr>
      <w:r>
        <w:rPr>
          <w:rFonts w:ascii="Calibri" w:cs="Calibri" w:eastAsia="Calibri" w:hAnsi="Calibri"/>
          <w:color w:val="444444"/>
          <w:sz w:val="21"/>
          <w:szCs w:val="21"/>
        </w:rPr>
        <w:t xml:space="preserve">Wrote 3 RSA ad variants per ad group using Claude AI — tested angles: time savings, compliance, ease of use</w:t>
      </w:r>
    </w:p>
    <w:p>
      <w:pPr>
        <w:pStyle w:val="ListParagraph"/>
        <w:numPr>
          <w:ilvl w:val="0"/>
          <w:numId w:val="1"/>
        </w:numPr>
        <w:spacing w:after="70"/>
        <w:ind w:left="288"/>
      </w:pPr>
      <w:r>
        <w:rPr>
          <w:rFonts w:ascii="Calibri" w:cs="Calibri" w:eastAsia="Calibri" w:hAnsi="Calibri"/>
          <w:color w:val="444444"/>
          <w:sz w:val="21"/>
          <w:szCs w:val="21"/>
        </w:rPr>
        <w:t xml:space="preserve">Created dedicated landing pages per campaign with single CTA and 3-field form (name, email, company size)</w:t>
      </w:r>
    </w:p>
    <w:p>
      <w:pPr>
        <w:pStyle w:val="ListParagraph"/>
        <w:numPr>
          <w:ilvl w:val="0"/>
          <w:numId w:val="1"/>
        </w:numPr>
        <w:spacing w:after="70"/>
        <w:ind w:left="288"/>
      </w:pPr>
      <w:r>
        <w:rPr>
          <w:rFonts w:ascii="Calibri" w:cs="Calibri" w:eastAsia="Calibri" w:hAnsi="Calibri"/>
          <w:color w:val="444444"/>
          <w:sz w:val="21"/>
          <w:szCs w:val="21"/>
        </w:rPr>
        <w:t xml:space="preserve">Enabled all ad extensions: sitelinks (Pricing, Free Trial, Demo, Features), callouts, structured snippets</w:t>
      </w:r>
    </w:p>
    <w:p>
      <w:pPr>
        <w:pStyle w:val="ListParagraph"/>
        <w:numPr>
          <w:ilvl w:val="0"/>
          <w:numId w:val="1"/>
        </w:numPr>
        <w:spacing w:after="70"/>
        <w:ind w:left="288"/>
      </w:pPr>
      <w:r>
        <w:rPr>
          <w:rFonts w:ascii="Calibri" w:cs="Calibri" w:eastAsia="Calibri" w:hAnsi="Calibri"/>
          <w:color w:val="444444"/>
          <w:sz w:val="21"/>
          <w:szCs w:val="21"/>
        </w:rPr>
        <w:t xml:space="preserve">Set up dynamic remarketing to retarget users who visited pricing page but did not convert</w:t>
      </w:r>
    </w:p>
    <w:p>
      <w:pPr>
        <w:spacing w:after="80" w:before="200"/>
      </w:pPr>
      <w:r>
        <w:rPr>
          <w:rFonts w:ascii="Calibri" w:cs="Calibri" w:eastAsia="Calibri" w:hAnsi="Calibri"/>
          <w:b/>
          <w:bCs/>
          <w:color w:val="FFFFFF"/>
          <w:sz w:val="20"/>
          <w:szCs w:val="20"/>
          <w:shd w:fill="DC2626" w:color="auto" w:val="clear"/>
        </w:rPr>
        <w:t xml:space="preserve">Week 7–12</w:t>
      </w:r>
      <w:r>
        <w:rPr>
          <w:rFonts w:ascii="Calibri" w:cs="Calibri" w:eastAsia="Calibri" w:hAnsi="Calibri"/>
          <w:b/>
          <w:bCs/>
          <w:color w:val="0A2540"/>
          <w:sz w:val="22"/>
          <w:szCs w:val="22"/>
        </w:rPr>
        <w:t xml:space="preserve">   Bid Strategy &amp; Scaling</w:t>
      </w:r>
    </w:p>
    <w:p>
      <w:pPr>
        <w:pStyle w:val="ListParagraph"/>
        <w:numPr>
          <w:ilvl w:val="0"/>
          <w:numId w:val="1"/>
        </w:numPr>
        <w:spacing w:after="70"/>
        <w:ind w:left="288"/>
      </w:pPr>
      <w:r>
        <w:rPr>
          <w:rFonts w:ascii="Calibri" w:cs="Calibri" w:eastAsia="Calibri" w:hAnsi="Calibri"/>
          <w:color w:val="444444"/>
          <w:sz w:val="21"/>
          <w:szCs w:val="21"/>
        </w:rPr>
        <w:t xml:space="preserve">Shifted winning ad groups to Target CPA bidding after 50+ conversions accumulated</w:t>
      </w:r>
    </w:p>
    <w:p>
      <w:pPr>
        <w:pStyle w:val="ListParagraph"/>
        <w:numPr>
          <w:ilvl w:val="0"/>
          <w:numId w:val="1"/>
        </w:numPr>
        <w:spacing w:after="70"/>
        <w:ind w:left="288"/>
      </w:pPr>
      <w:r>
        <w:rPr>
          <w:rFonts w:ascii="Calibri" w:cs="Calibri" w:eastAsia="Calibri" w:hAnsi="Calibri"/>
          <w:color w:val="444444"/>
          <w:sz w:val="21"/>
          <w:szCs w:val="21"/>
        </w:rPr>
        <w:t xml:space="preserve">Paused keywords with CTR below 2% after RM100 spend — reallocated budget to top 20% performers</w:t>
      </w:r>
    </w:p>
    <w:p>
      <w:pPr>
        <w:pStyle w:val="ListParagraph"/>
        <w:numPr>
          <w:ilvl w:val="0"/>
          <w:numId w:val="1"/>
        </w:numPr>
        <w:spacing w:after="70"/>
        <w:ind w:left="288"/>
      </w:pPr>
      <w:r>
        <w:rPr>
          <w:rFonts w:ascii="Calibri" w:cs="Calibri" w:eastAsia="Calibri" w:hAnsi="Calibri"/>
          <w:color w:val="444444"/>
          <w:sz w:val="21"/>
          <w:szCs w:val="21"/>
        </w:rPr>
        <w:t xml:space="preserve">Added 3 new ad groups targeting competitor brand names with alternative-framing copy</w:t>
      </w:r>
    </w:p>
    <w:p>
      <w:pPr>
        <w:pStyle w:val="ListParagraph"/>
        <w:numPr>
          <w:ilvl w:val="0"/>
          <w:numId w:val="1"/>
        </w:numPr>
        <w:spacing w:after="70"/>
        <w:ind w:left="288"/>
      </w:pPr>
      <w:r>
        <w:rPr>
          <w:rFonts w:ascii="Calibri" w:cs="Calibri" w:eastAsia="Calibri" w:hAnsi="Calibri"/>
          <w:color w:val="444444"/>
          <w:sz w:val="21"/>
          <w:szCs w:val="21"/>
        </w:rPr>
        <w:t xml:space="preserve">Weekly Search Term Report review — added 12 new negatives per week to tighten targeting</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Campaign Performance (Month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Campaign</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Type</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Impressions</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CTR</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CPA (RM)</w:t>
            </w:r>
          </w:p>
        </w:tc>
        <w:tc>
          <w:tcPr>
            <w:tcBorders>
              <w:top w:val="single" w:color="05192A" w:sz="4"/>
              <w:left w:val="single" w:color="05192A" w:sz="4"/>
              <w:bottom w:val="single" w:color="05192A" w:sz="4"/>
              <w:right w:val="single" w:color="05192A" w:sz="4"/>
            </w:tcBorders>
            <w:shd w:fill="0A2540" w:color="auto" w:val="clear"/>
            <w:tcMar>
              <w:top w:type="dxa" w:w="115"/>
              <w:left w:type="dxa" w:w="144"/>
              <w:bottom w:type="dxa" w:w="115"/>
              <w:right w:type="dxa" w:w="144"/>
            </w:tcMar>
          </w:tcPr>
          <w:p>
            <w:r>
              <w:rPr>
                <w:rFonts w:ascii="Calibri" w:cs="Calibri" w:eastAsia="Calibri" w:hAnsi="Calibri"/>
                <w:b/>
                <w:bCs/>
                <w:color w:val="FFFFFF"/>
                <w:sz w:val="19"/>
                <w:szCs w:val="19"/>
              </w:rPr>
              <w:t xml:space="preserve">ROAS</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HR Software SME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Solution-Aware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42,800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RM124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4.8×</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Payroll Software Malaysia</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Solution-Aware</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28,400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RM138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4.1×</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Competitor — Kakitangan</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Competitor</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18,200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3.4%</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RM152</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3.6×</w:t>
            </w:r>
          </w:p>
        </w:tc>
      </w:tr>
      <w:tr>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CoreHive Brand</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Brand</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9,600</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6.1%</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RM68</w:t>
            </w:r>
          </w:p>
        </w:tc>
        <w:tc>
          <w:tcPr>
            <w:tcBorders>
              <w:top w:val="single" w:color="DDDDDD" w:sz="4"/>
              <w:left w:val="single" w:color="DDDDDD" w:sz="4"/>
              <w:bottom w:val="single" w:color="DDDDDD" w:sz="4"/>
              <w:right w:val="single" w:color="DDDDDD" w:sz="4"/>
            </w:tcBorders>
            <w:tcMar>
              <w:top w:type="dxa" w:w="115"/>
              <w:left w:type="dxa" w:w="144"/>
              <w:bottom w:type="dxa" w:w="115"/>
              <w:right w:type="dxa" w:w="144"/>
            </w:tcMar>
          </w:tcPr>
          <w:p>
            <w:r>
              <w:rPr>
                <w:rFonts w:ascii="Calibri" w:cs="Calibri" w:eastAsia="Calibri" w:hAnsi="Calibri"/>
                <w:color w:val="333333"/>
                <w:sz w:val="19"/>
                <w:szCs w:val="19"/>
              </w:rPr>
              <w:t xml:space="preserve">7.2×</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Before vs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E0C0C0" w:sz="4"/>
              <w:left w:val="single" w:color="E0C0C0" w:sz="4"/>
              <w:bottom w:val="single" w:color="E0C0C0" w:sz="4"/>
              <w:right w:val="single" w:color="E0C0C0" w:sz="4"/>
            </w:tcBorders>
            <w:shd w:fill="FFF5F5" w:color="auto" w:val="clear"/>
            <w:tcMar>
              <w:top w:type="dxa" w:w="144"/>
              <w:left w:type="dxa" w:w="172"/>
              <w:bottom w:type="dxa" w:w="144"/>
              <w:right w:type="dxa" w:w="172"/>
            </w:tcMar>
          </w:tcPr>
          <w:p>
            <w:pPr>
              <w:spacing w:after="100"/>
            </w:pPr>
            <w:r>
              <w:rPr>
                <w:rFonts w:ascii="Calibri" w:cs="Calibri" w:eastAsia="Calibri" w:hAnsi="Calibri"/>
                <w:b/>
                <w:bCs/>
                <w:color w:val="DC2626"/>
                <w:sz w:val="22"/>
                <w:szCs w:val="22"/>
              </w:rPr>
              <w:t xml:space="preserve">Before</w:t>
            </w:r>
          </w:p>
          <w:p>
            <w:pPr>
              <w:spacing w:after="60"/>
            </w:pPr>
            <w:r>
              <w:rPr>
                <w:rFonts w:ascii="Calibri" w:cs="Calibri" w:eastAsia="Calibri" w:hAnsi="Calibri"/>
                <w:color w:val="333333"/>
                <w:sz w:val="21"/>
                <w:szCs w:val="21"/>
              </w:rPr>
              <w:t xml:space="preserve">Monthly Ad Spend: RM 8,000</w:t>
            </w:r>
          </w:p>
          <w:p>
            <w:pPr>
              <w:spacing w:after="60"/>
            </w:pPr>
            <w:r>
              <w:rPr>
                <w:rFonts w:ascii="Calibri" w:cs="Calibri" w:eastAsia="Calibri" w:hAnsi="Calibri"/>
                <w:color w:val="333333"/>
                <w:sz w:val="21"/>
                <w:szCs w:val="21"/>
              </w:rPr>
              <w:t xml:space="preserve">ROAS: 1.8×</w:t>
            </w:r>
          </w:p>
          <w:p>
            <w:pPr>
              <w:spacing w:after="60"/>
            </w:pPr>
            <w:r>
              <w:rPr>
                <w:rFonts w:ascii="Calibri" w:cs="Calibri" w:eastAsia="Calibri" w:hAnsi="Calibri"/>
                <w:color w:val="333333"/>
                <w:sz w:val="21"/>
                <w:szCs w:val="21"/>
              </w:rPr>
              <w:t xml:space="preserve">Cost Per Lead: RM 210</w:t>
            </w:r>
          </w:p>
          <w:p>
            <w:pPr>
              <w:spacing w:after="60"/>
            </w:pPr>
            <w:r>
              <w:rPr>
                <w:rFonts w:ascii="Calibri" w:cs="Calibri" w:eastAsia="Calibri" w:hAnsi="Calibri"/>
                <w:color w:val="333333"/>
                <w:sz w:val="21"/>
                <w:szCs w:val="21"/>
              </w:rPr>
              <w:t xml:space="preserve">Avg CTR: 1.4%</w:t>
            </w:r>
          </w:p>
          <w:p>
            <w:pPr>
              <w:spacing w:after="60"/>
            </w:pPr>
            <w:r>
              <w:rPr>
                <w:rFonts w:ascii="Calibri" w:cs="Calibri" w:eastAsia="Calibri" w:hAnsi="Calibri"/>
                <w:color w:val="333333"/>
                <w:sz w:val="21"/>
                <w:szCs w:val="21"/>
              </w:rPr>
              <w:t xml:space="preserve">Negative Keywords: 0</w:t>
            </w:r>
          </w:p>
          <w:p>
            <w:pPr>
              <w:spacing w:after="60"/>
            </w:pPr>
            <w:r>
              <w:rPr>
                <w:rFonts w:ascii="Calibri" w:cs="Calibri" w:eastAsia="Calibri" w:hAnsi="Calibri"/>
                <w:color w:val="333333"/>
                <w:sz w:val="21"/>
                <w:szCs w:val="21"/>
              </w:rPr>
              <w:t xml:space="preserve">Conversion Tracking: None</w:t>
            </w:r>
          </w:p>
        </w:tc>
        <w:tc>
          <w:tcPr>
            <w:tcW w:type="pct" w:w="50%"/>
            <w:tcBorders>
              <w:top w:val="single" w:color="A8D8B8" w:sz="4"/>
              <w:left w:val="single" w:color="A8D8B8" w:sz="4"/>
              <w:bottom w:val="single" w:color="A8D8B8" w:sz="4"/>
              <w:right w:val="single" w:color="A8D8B8" w:sz="4"/>
            </w:tcBorders>
            <w:shd w:fill="F0FFF4" w:color="auto" w:val="clear"/>
            <w:tcMar>
              <w:top w:type="dxa" w:w="144"/>
              <w:left w:type="dxa" w:w="172"/>
              <w:bottom w:type="dxa" w:w="144"/>
              <w:right w:type="dxa" w:w="172"/>
            </w:tcMar>
          </w:tcPr>
          <w:p>
            <w:pPr>
              <w:spacing w:after="100"/>
            </w:pPr>
            <w:r>
              <w:rPr>
                <w:rFonts w:ascii="Calibri" w:cs="Calibri" w:eastAsia="Calibri" w:hAnsi="Calibri"/>
                <w:b/>
                <w:bCs/>
                <w:color w:val="16A34A"/>
                <w:sz w:val="22"/>
                <w:szCs w:val="22"/>
              </w:rPr>
              <w:t xml:space="preserve">After</w:t>
            </w:r>
          </w:p>
          <w:p>
            <w:pPr>
              <w:spacing w:after="60"/>
            </w:pPr>
            <w:r>
              <w:rPr>
                <w:rFonts w:ascii="Calibri" w:cs="Calibri" w:eastAsia="Calibri" w:hAnsi="Calibri"/>
                <w:color w:val="333333"/>
                <w:sz w:val="21"/>
                <w:szCs w:val="21"/>
              </w:rPr>
              <w:t xml:space="preserve">Monthly Ad Spend: RM 8,000</w:t>
            </w:r>
          </w:p>
          <w:p>
            <w:pPr>
              <w:spacing w:after="60"/>
            </w:pPr>
            <w:r>
              <w:rPr>
                <w:rFonts w:ascii="Calibri" w:cs="Calibri" w:eastAsia="Calibri" w:hAnsi="Calibri"/>
                <w:color w:val="333333"/>
                <w:sz w:val="21"/>
                <w:szCs w:val="21"/>
              </w:rPr>
              <w:t xml:space="preserve">ROAS: 4.2×</w:t>
            </w:r>
          </w:p>
          <w:p>
            <w:pPr>
              <w:spacing w:after="60"/>
            </w:pPr>
            <w:r>
              <w:rPr>
                <w:rFonts w:ascii="Calibri" w:cs="Calibri" w:eastAsia="Calibri" w:hAnsi="Calibri"/>
                <w:color w:val="333333"/>
                <w:sz w:val="21"/>
                <w:szCs w:val="21"/>
              </w:rPr>
              <w:t xml:space="preserve">Cost Per Lead: RM 124</w:t>
            </w:r>
          </w:p>
          <w:p>
            <w:pPr>
              <w:spacing w:after="60"/>
            </w:pPr>
            <w:r>
              <w:rPr>
                <w:rFonts w:ascii="Calibri" w:cs="Calibri" w:eastAsia="Calibri" w:hAnsi="Calibri"/>
                <w:color w:val="333333"/>
                <w:sz w:val="21"/>
                <w:szCs w:val="21"/>
              </w:rPr>
              <w:t xml:space="preserve">Avg CTR: 3.9%</w:t>
            </w:r>
          </w:p>
          <w:p>
            <w:pPr>
              <w:spacing w:after="60"/>
            </w:pPr>
            <w:r>
              <w:rPr>
                <w:rFonts w:ascii="Calibri" w:cs="Calibri" w:eastAsia="Calibri" w:hAnsi="Calibri"/>
                <w:color w:val="333333"/>
                <w:sz w:val="21"/>
                <w:szCs w:val="21"/>
              </w:rPr>
              <w:t xml:space="preserve">Negative Keywords: 85+</w:t>
            </w:r>
          </w:p>
          <w:p>
            <w:pPr>
              <w:spacing w:after="60"/>
            </w:pPr>
            <w:r>
              <w:rPr>
                <w:rFonts w:ascii="Calibri" w:cs="Calibri" w:eastAsia="Calibri" w:hAnsi="Calibri"/>
                <w:color w:val="333333"/>
                <w:sz w:val="21"/>
                <w:szCs w:val="21"/>
              </w:rPr>
              <w:t xml:space="preserve">Conversion Tracking: 4 events live</w:t>
            </w:r>
          </w:p>
        </w:tc>
      </w:tr>
    </w:tbl>
    <w:p>
      <w:pPr>
        <w:spacing w:after="80"/>
      </w:pPr>
      <w:r>
        <w:rPr>
          <w:rFonts w:ascii="Calibri" w:cs="Calibri" w:eastAsia="Calibri" w:hAnsi="Calibri"/>
          <w:sz w:val="4"/>
          <w:szCs w:val="4"/>
        </w:rPr>
        <w:t xml:space="preserve"> </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Deliverables Completed</w:t>
      </w:r>
    </w:p>
    <w:p>
      <w:pPr>
        <w:pStyle w:val="ListParagraph"/>
        <w:numPr>
          <w:ilvl w:val="0"/>
          <w:numId w:val="1"/>
        </w:numPr>
        <w:spacing w:after="80"/>
      </w:pPr>
      <w:r>
        <w:rPr>
          <w:rFonts w:ascii="Calibri" w:cs="Calibri" w:eastAsia="Calibri" w:hAnsi="Calibri"/>
          <w:color w:val="7F1D1D"/>
          <w:sz w:val="22"/>
          <w:szCs w:val="22"/>
        </w:rPr>
        <w:t xml:space="preserve">Full Google Ads account audit &amp; restructure</w:t>
      </w:r>
    </w:p>
    <w:p>
      <w:pPr>
        <w:pStyle w:val="ListParagraph"/>
        <w:numPr>
          <w:ilvl w:val="0"/>
          <w:numId w:val="1"/>
        </w:numPr>
        <w:spacing w:after="80"/>
      </w:pPr>
      <w:r>
        <w:rPr>
          <w:rFonts w:ascii="Calibri" w:cs="Calibri" w:eastAsia="Calibri" w:hAnsi="Calibri"/>
          <w:color w:val="7F1D1D"/>
          <w:sz w:val="22"/>
          <w:szCs w:val="22"/>
        </w:rPr>
        <w:t xml:space="preserve">4-event GA4 conversion tracking setup</w:t>
      </w:r>
    </w:p>
    <w:p>
      <w:pPr>
        <w:pStyle w:val="ListParagraph"/>
        <w:numPr>
          <w:ilvl w:val="0"/>
          <w:numId w:val="1"/>
        </w:numPr>
        <w:spacing w:after="80"/>
      </w:pPr>
      <w:r>
        <w:rPr>
          <w:rFonts w:ascii="Calibri" w:cs="Calibri" w:eastAsia="Calibri" w:hAnsi="Calibri"/>
          <w:color w:val="7F1D1D"/>
          <w:sz w:val="22"/>
          <w:szCs w:val="22"/>
        </w:rPr>
        <w:t xml:space="preserve">3-campaign intent-tiered account structure</w:t>
      </w:r>
    </w:p>
    <w:p>
      <w:pPr>
        <w:pStyle w:val="ListParagraph"/>
        <w:numPr>
          <w:ilvl w:val="0"/>
          <w:numId w:val="1"/>
        </w:numPr>
        <w:spacing w:after="80"/>
      </w:pPr>
      <w:r>
        <w:rPr>
          <w:rFonts w:ascii="Calibri" w:cs="Calibri" w:eastAsia="Calibri" w:hAnsi="Calibri"/>
          <w:color w:val="7F1D1D"/>
          <w:sz w:val="22"/>
          <w:szCs w:val="22"/>
        </w:rPr>
        <w:t xml:space="preserve">85-keyword master negative list</w:t>
      </w:r>
    </w:p>
    <w:p>
      <w:pPr>
        <w:pStyle w:val="ListParagraph"/>
        <w:numPr>
          <w:ilvl w:val="0"/>
          <w:numId w:val="1"/>
        </w:numPr>
        <w:spacing w:after="80"/>
      </w:pPr>
      <w:r>
        <w:rPr>
          <w:rFonts w:ascii="Calibri" w:cs="Calibri" w:eastAsia="Calibri" w:hAnsi="Calibri"/>
          <w:color w:val="7F1D1D"/>
          <w:sz w:val="22"/>
          <w:szCs w:val="22"/>
        </w:rPr>
        <w:t xml:space="preserve">RSA ad copy (3 variants × 4 ad groups)</w:t>
      </w:r>
    </w:p>
    <w:p>
      <w:pPr>
        <w:pStyle w:val="ListParagraph"/>
        <w:numPr>
          <w:ilvl w:val="0"/>
          <w:numId w:val="1"/>
        </w:numPr>
        <w:spacing w:after="80"/>
      </w:pPr>
      <w:r>
        <w:rPr>
          <w:rFonts w:ascii="Calibri" w:cs="Calibri" w:eastAsia="Calibri" w:hAnsi="Calibri"/>
          <w:color w:val="7F1D1D"/>
          <w:sz w:val="22"/>
          <w:szCs w:val="22"/>
        </w:rPr>
        <w:t xml:space="preserve">Dedicated landing pages per campaign</w:t>
      </w:r>
    </w:p>
    <w:p>
      <w:pPr>
        <w:pStyle w:val="ListParagraph"/>
        <w:numPr>
          <w:ilvl w:val="0"/>
          <w:numId w:val="1"/>
        </w:numPr>
        <w:spacing w:after="80"/>
      </w:pPr>
      <w:r>
        <w:rPr>
          <w:rFonts w:ascii="Calibri" w:cs="Calibri" w:eastAsia="Calibri" w:hAnsi="Calibri"/>
          <w:color w:val="7F1D1D"/>
          <w:sz w:val="22"/>
          <w:szCs w:val="22"/>
        </w:rPr>
        <w:t xml:space="preserve">Ad extension suite (sitelinks, callouts, snippets)</w:t>
      </w:r>
    </w:p>
    <w:p>
      <w:pPr>
        <w:pStyle w:val="ListParagraph"/>
        <w:numPr>
          <w:ilvl w:val="0"/>
          <w:numId w:val="1"/>
        </w:numPr>
        <w:spacing w:after="80"/>
      </w:pPr>
      <w:r>
        <w:rPr>
          <w:rFonts w:ascii="Calibri" w:cs="Calibri" w:eastAsia="Calibri" w:hAnsi="Calibri"/>
          <w:color w:val="7F1D1D"/>
          <w:sz w:val="22"/>
          <w:szCs w:val="22"/>
        </w:rPr>
        <w:t xml:space="preserve">Competitor campaign with alternative positioning</w:t>
      </w:r>
    </w:p>
    <w:p>
      <w:pPr>
        <w:pStyle w:val="ListParagraph"/>
        <w:numPr>
          <w:ilvl w:val="0"/>
          <w:numId w:val="1"/>
        </w:numPr>
        <w:spacing w:after="80"/>
      </w:pPr>
      <w:r>
        <w:rPr>
          <w:rFonts w:ascii="Calibri" w:cs="Calibri" w:eastAsia="Calibri" w:hAnsi="Calibri"/>
          <w:color w:val="7F1D1D"/>
          <w:sz w:val="22"/>
          <w:szCs w:val="22"/>
        </w:rPr>
        <w:t xml:space="preserve">Weekly Search Term Report &amp; negative keyword reviews</w:t>
      </w:r>
    </w:p>
    <w:p>
      <w:pPr>
        <w:pStyle w:val="ListParagraph"/>
        <w:numPr>
          <w:ilvl w:val="0"/>
          <w:numId w:val="1"/>
        </w:numPr>
        <w:spacing w:after="80"/>
      </w:pPr>
      <w:r>
        <w:rPr>
          <w:rFonts w:ascii="Calibri" w:cs="Calibri" w:eastAsia="Calibri" w:hAnsi="Calibri"/>
          <w:color w:val="7F1D1D"/>
          <w:sz w:val="22"/>
          <w:szCs w:val="22"/>
        </w:rPr>
        <w:t xml:space="preserve">Monthly performance report with ROAS and CPA trends</w:t>
      </w:r>
    </w:p>
    <w:p>
      <w:pPr>
        <w:spacing w:after="40"/>
      </w:pPr>
      <w:r>
        <w:rPr>
          <w:rFonts w:ascii="Calibri" w:cs="Calibri" w:eastAsia="Calibri" w:hAnsi="Calibri"/>
          <w:sz w:val="4"/>
          <w:szCs w:val="4"/>
        </w:rPr>
        <w:t xml:space="preserve"> </w:t>
      </w:r>
    </w:p>
    <w:p>
      <w:pPr>
        <w:pBdr>
          <w:bottom w:val="single" w:color="DC2626" w:sz="4"/>
        </w:pBdr>
        <w:spacing w:after="100" w:before="320"/>
      </w:pPr>
      <w:r>
        <w:rPr>
          <w:rFonts w:ascii="Calibri" w:cs="Calibri" w:eastAsia="Calibri" w:hAnsi="Calibri"/>
          <w:b/>
          <w:bCs/>
          <w:color w:val="0A2540"/>
          <w:sz w:val="26"/>
          <w:szCs w:val="26"/>
        </w:rPr>
        <w:t xml:space="preserve">Client Testimonial</w:t>
      </w:r>
    </w:p>
    <w:p>
      <w:pPr>
        <w:pBdr>
          <w:left w:val="thick" w:color="DC2626" w:sz="16"/>
        </w:pBdr>
        <w:shd w:fill="FEF2F2" w:color="auto" w:val="clear"/>
        <w:spacing w:after="80" w:before="140"/>
        <w:ind w:left="431"/>
      </w:pPr>
      <w:r>
        <w:rPr>
          <w:rFonts w:ascii="Calibri" w:cs="Calibri" w:eastAsia="Calibri" w:hAnsi="Calibri"/>
          <w:i/>
          <w:iCs/>
          <w:color w:val="1E293B"/>
          <w:sz w:val="22"/>
          <w:szCs w:val="22"/>
        </w:rPr>
        <w:t xml:space="preserve">"We'd been wasting money on Google Ads for two years and couldn't explain why. TechNext rebuilt everything from scratch and within 90 days our cost-per-lead dropped by nearly half. The weekly reporting alone was worth the engagement."</w:t>
      </w:r>
    </w:p>
    <w:p>
      <w:pPr>
        <w:spacing w:after="160"/>
        <w:ind w:left="431"/>
      </w:pPr>
      <w:r>
        <w:rPr>
          <w:rFonts w:ascii="Calibri" w:cs="Calibri" w:eastAsia="Calibri" w:hAnsi="Calibri"/>
          <w:b/>
          <w:bCs/>
          <w:color w:val="0A2540"/>
          <w:sz w:val="21"/>
          <w:szCs w:val="21"/>
        </w:rPr>
        <w:t xml:space="preserve">James Ong</w:t>
      </w:r>
      <w:r>
        <w:rPr>
          <w:rFonts w:ascii="Calibri" w:cs="Calibri" w:eastAsia="Calibri" w:hAnsi="Calibri"/>
          <w:color w:val="555555"/>
          <w:sz w:val="20"/>
          <w:szCs w:val="20"/>
        </w:rPr>
        <w:t xml:space="preserve">  ·  Co-Founder, CoreHive HR Sdn Bhd</w:t>
      </w:r>
    </w:p>
    <w:p>
      <w:pPr>
        <w:spacing w:after="40"/>
      </w:pPr>
      <w:r>
        <w:rPr>
          <w:rFonts w:ascii="Calibri" w:cs="Calibri" w:eastAsia="Calibri" w:hAnsi="Calibri"/>
          <w:sz w:val="4"/>
          <w:szCs w:val="4"/>
        </w:rPr>
        <w:t xml:space="preserve"> </w:t>
      </w:r>
    </w:p>
    <w:p>
      <w:pPr>
        <w:spacing w:after="160"/>
      </w:pPr>
      <w:r>
        <w:rPr>
          <w:rFonts w:ascii="Calibri" w:cs="Calibri" w:eastAsia="Calibri" w:hAnsi="Calibri"/>
          <w:sz w:val="4"/>
          <w:szCs w:val="4"/>
        </w:rPr>
        <w:t xml:space="preserve"> </w:t>
      </w:r>
    </w:p>
    <w:p>
      <w:pPr>
        <w:pBdr>
          <w:top w:val="single" w:color="DDDDDD" w:sz="4"/>
        </w:pBdr>
        <w:spacing w:before="80"/>
        <w:jc w:val="center"/>
      </w:pPr>
      <w:r>
        <w:rPr>
          <w:rFonts w:ascii="Calibri" w:cs="Calibri" w:eastAsia="Calibri" w:hAnsi="Calibri"/>
          <w:color w:val="AAAAAA"/>
          <w:sz w:val="18"/>
          <w:szCs w:val="18"/>
        </w:rPr>
        <w:t xml:space="preserve">NextMarketing — Professional Marketing Services by TechNext Asia  |  hello@technext.asia</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2026-05-01T06:54:33.125Z</dcterms:created>
  <dcterms:modified xsi:type="dcterms:W3CDTF">2026-05-01T06:54:33.125Z</dcterms:modified>
</cp:coreProperties>
</file>

<file path=docProps/custom.xml><?xml version="1.0" encoding="utf-8"?>
<Properties xmlns="http://schemas.openxmlformats.org/officeDocument/2006/custom-properties" xmlns:vt="http://schemas.openxmlformats.org/officeDocument/2006/docPropsVTypes"/>
</file>