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HARD TIER — CASE STUDY</w:t>
      </w:r>
    </w:p>
    <w:p>
      <w:pPr>
        <w:spacing w:after="80"/>
      </w:pPr>
      <w:r>
        <w:rPr>
          <w:rFonts w:ascii="Calibri" w:cs="Calibri" w:eastAsia="Calibri" w:hAnsi="Calibri"/>
          <w:b/>
          <w:bCs/>
          <w:color w:val="0A2540"/>
          <w:sz w:val="46"/>
          <w:szCs w:val="46"/>
        </w:rPr>
        <w:t xml:space="preserve">Meta Ads Management</w:t>
      </w:r>
    </w:p>
    <w:p>
      <w:pPr>
        <w:spacing w:after="80"/>
      </w:pPr>
      <w:r>
        <w:rPr>
          <w:rFonts w:ascii="Calibri" w:cs="Calibri" w:eastAsia="Calibri" w:hAnsi="Calibri"/>
          <w:i/>
          <w:iCs/>
          <w:color w:val="555555"/>
          <w:sz w:val="22"/>
          <w:szCs w:val="22"/>
        </w:rPr>
        <w:t xml:space="preserve">How a premium skincare brand achieved 5.3× ROAS and slashed CPA by 38% through audience and creative strategy</w:t>
      </w:r>
    </w:p>
    <w:p>
      <w:pPr>
        <w:spacing w:after="80"/>
      </w:pPr>
      <w:r>
        <w:rPr>
          <w:rFonts w:ascii="Calibri" w:cs="Calibri" w:eastAsia="Calibri" w:hAnsi="Calibri"/>
          <w:color w:val="64748B"/>
          <w:sz w:val="20"/>
          <w:szCs w:val="20"/>
        </w:rPr>
        <w:t xml:space="preserve">🏢 SkinRitual Sdn Bhd   |   💄 Premium Skincare &amp; Beauty   |   📍 Bangsar, Kuala Lumpur   |   📅 Jan – Mar 2026</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5.3×</w:t>
            </w:r>
          </w:p>
          <w:p>
            <w:pPr>
              <w:jc w:val="center"/>
            </w:pPr>
            <w:r>
              <w:rPr>
                <w:rFonts w:ascii="Calibri" w:cs="Calibri" w:eastAsia="Calibri" w:hAnsi="Calibri"/>
                <w:color w:val="555555"/>
                <w:sz w:val="20"/>
                <w:szCs w:val="20"/>
              </w:rPr>
              <w:t xml:space="preserve">ROAS Achieved (vs 2.1× before)</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-38%</w:t>
            </w:r>
          </w:p>
          <w:p>
            <w:pPr>
              <w:jc w:val="center"/>
            </w:pPr>
            <w:r>
              <w:rPr>
                <w:rFonts w:ascii="Calibri" w:cs="Calibri" w:eastAsia="Calibri" w:hAnsi="Calibri"/>
                <w:color w:val="555555"/>
                <w:sz w:val="20"/>
                <w:szCs w:val="20"/>
              </w:rPr>
              <w:t xml:space="preserve">Cost Per Acquisition Reduction</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2.9%</w:t>
            </w:r>
          </w:p>
          <w:p>
            <w:pPr>
              <w:jc w:val="center"/>
            </w:pPr>
            <w:r>
              <w:rPr>
                <w:rFonts w:ascii="Calibri" w:cs="Calibri" w:eastAsia="Calibri" w:hAnsi="Calibri"/>
                <w:color w:val="555555"/>
                <w:sz w:val="20"/>
                <w:szCs w:val="20"/>
              </w:rPr>
              <w:t xml:space="preserve">Retargeting Campaign CTR</w:t>
            </w:r>
          </w:p>
        </w:tc>
      </w:tr>
    </w:tbl>
    <w:p>
      <w:pPr>
        <w:spacing w:after="12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Overview</w:t>
      </w:r>
    </w:p>
    <w:p>
      <w:pPr>
        <w:spacing w:after="100"/>
      </w:pPr>
      <w:r>
        <w:rPr>
          <w:rFonts w:ascii="Calibri" w:cs="Calibri" w:eastAsia="Calibri" w:hAnsi="Calibri"/>
          <w:color w:val="333333"/>
          <w:sz w:val="22"/>
          <w:szCs w:val="22"/>
        </w:rPr>
        <w:t xml:space="preserve">SkinRitual is a premium skincare brand based in Bangsar offering dermatologist-formulated serums, moisturisers, and treatment kits sold primarily through their Shopify store and selected pharmacy chains. Their Meta Ads account was running two campaigns — a broad awareness campaign and a conversion campaign — both performing well below industry benchmarks.</w:t>
      </w:r>
    </w:p>
    <w:p>
      <w:pPr>
        <w:spacing w:after="100"/>
      </w:pPr>
      <w:r>
        <w:rPr>
          <w:rFonts w:ascii="Calibri" w:cs="Calibri" w:eastAsia="Calibri" w:hAnsi="Calibri"/>
          <w:color w:val="333333"/>
          <w:sz w:val="22"/>
          <w:szCs w:val="22"/>
        </w:rPr>
        <w:t xml:space="preserve">The brand had installed the Meta Pixel but event tracking was misconfigured: Purchase events were firing on the cart page rather than the order confirmation page, inflating reported ROAS and masking true campaign performance. Creative had not been refreshed in four months, leading to severe ad fatigue across retargeting audiences.</w:t>
      </w:r>
    </w:p>
    <w:p>
      <w:pPr>
        <w:spacing w:after="100"/>
      </w:pPr>
      <w:r>
        <w:rPr>
          <w:rFonts w:ascii="Calibri" w:cs="Calibri" w:eastAsia="Calibri" w:hAnsi="Calibri"/>
          <w:color w:val="333333"/>
          <w:sz w:val="22"/>
          <w:szCs w:val="22"/>
        </w:rPr>
        <w:t xml:space="preserve">TechNext Asia audited and rebuilt the Meta Ads setup — correcting Pixel events, creating structured audience tiers, producing three fresh creative variants, and implementing a retargeting funnel that recovered abandoned cart traffic at a fraction of the cost of new customer acquisition.</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The Challenge</w:t>
      </w:r>
    </w:p>
    <w:p>
      <w:pPr>
        <w:pStyle w:val="ListParagraph"/>
        <w:numPr>
          <w:ilvl w:val="0"/>
          <w:numId w:val="1"/>
        </w:numPr>
        <w:spacing w:after="80"/>
      </w:pPr>
      <w:r>
        <w:rPr>
          <w:rFonts w:ascii="Calibri" w:cs="Calibri" w:eastAsia="Calibri" w:hAnsi="Calibri"/>
          <w:color w:val="333333"/>
          <w:sz w:val="22"/>
          <w:szCs w:val="22"/>
        </w:rPr>
        <w:t xml:space="preserve">Meta Pixel misconfigured — Purchase event firing on cart page inflated ROAS by approximately 2.4×</w:t>
      </w:r>
    </w:p>
    <w:p>
      <w:pPr>
        <w:pStyle w:val="ListParagraph"/>
        <w:numPr>
          <w:ilvl w:val="0"/>
          <w:numId w:val="1"/>
        </w:numPr>
        <w:spacing w:after="80"/>
      </w:pPr>
      <w:r>
        <w:rPr>
          <w:rFonts w:ascii="Calibri" w:cs="Calibri" w:eastAsia="Calibri" w:hAnsi="Calibri"/>
          <w:color w:val="333333"/>
          <w:sz w:val="22"/>
          <w:szCs w:val="22"/>
        </w:rPr>
        <w:t xml:space="preserve">Ad creative unchanged for 4+ months — frequency above 6.8 causing significant audience fatigue and rising CPM</w:t>
      </w:r>
    </w:p>
    <w:p>
      <w:pPr>
        <w:pStyle w:val="ListParagraph"/>
        <w:numPr>
          <w:ilvl w:val="0"/>
          <w:numId w:val="1"/>
        </w:numPr>
        <w:spacing w:after="80"/>
      </w:pPr>
      <w:r>
        <w:rPr>
          <w:rFonts w:ascii="Calibri" w:cs="Calibri" w:eastAsia="Calibri" w:hAnsi="Calibri"/>
          <w:color w:val="333333"/>
          <w:sz w:val="22"/>
          <w:szCs w:val="22"/>
        </w:rPr>
        <w:t xml:space="preserve">No lookalike audiences built from buyer data — campaigns targeting only interest-based audiences</w:t>
      </w:r>
    </w:p>
    <w:p>
      <w:pPr>
        <w:pStyle w:val="ListParagraph"/>
        <w:numPr>
          <w:ilvl w:val="0"/>
          <w:numId w:val="1"/>
        </w:numPr>
        <w:spacing w:after="80"/>
      </w:pPr>
      <w:r>
        <w:rPr>
          <w:rFonts w:ascii="Calibri" w:cs="Calibri" w:eastAsia="Calibri" w:hAnsi="Calibri"/>
          <w:color w:val="333333"/>
          <w:sz w:val="22"/>
          <w:szCs w:val="22"/>
        </w:rPr>
        <w:t xml:space="preserve">Retargeting was a single broad audience (all website visitors, 60 days) with no exclusions or sequential logic</w:t>
      </w:r>
    </w:p>
    <w:p>
      <w:pPr>
        <w:pStyle w:val="ListParagraph"/>
        <w:numPr>
          <w:ilvl w:val="0"/>
          <w:numId w:val="1"/>
        </w:numPr>
        <w:spacing w:after="80"/>
      </w:pPr>
      <w:r>
        <w:rPr>
          <w:rFonts w:ascii="Calibri" w:cs="Calibri" w:eastAsia="Calibri" w:hAnsi="Calibri"/>
          <w:color w:val="333333"/>
          <w:sz w:val="22"/>
          <w:szCs w:val="22"/>
        </w:rPr>
        <w:t xml:space="preserve">No Advantage+ Shopping Campaign structure — missing Meta's AI-optimised buying mode for e-commerce</w:t>
      </w:r>
    </w:p>
    <w:p>
      <w:pPr>
        <w:pStyle w:val="ListParagraph"/>
        <w:numPr>
          <w:ilvl w:val="0"/>
          <w:numId w:val="1"/>
        </w:numPr>
        <w:spacing w:after="80"/>
      </w:pPr>
      <w:r>
        <w:rPr>
          <w:rFonts w:ascii="Calibri" w:cs="Calibri" w:eastAsia="Calibri" w:hAnsi="Calibri"/>
          <w:color w:val="333333"/>
          <w:sz w:val="22"/>
          <w:szCs w:val="22"/>
        </w:rPr>
        <w:t xml:space="preserve">Ad copy led with product ingredients rather than transformation outcomes — low emotional resonance</w:t>
      </w:r>
    </w:p>
    <w:p>
      <w:pPr>
        <w:pStyle w:val="ListParagraph"/>
        <w:numPr>
          <w:ilvl w:val="0"/>
          <w:numId w:val="1"/>
        </w:numPr>
        <w:spacing w:after="80"/>
      </w:pPr>
      <w:r>
        <w:rPr>
          <w:rFonts w:ascii="Calibri" w:cs="Calibri" w:eastAsia="Calibri" w:hAnsi="Calibri"/>
          <w:color w:val="333333"/>
          <w:sz w:val="22"/>
          <w:szCs w:val="22"/>
        </w:rPr>
        <w:t xml:space="preserve">No attribution window alignment between Meta reporting and Shopify analytics — teams disagreeing on performance</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Our 3-Phase Approach</w:t>
      </w:r>
    </w:p>
    <w:p>
      <w:pPr>
        <w:spacing w:after="80" w:before="200"/>
      </w:pPr>
      <w:r>
        <w:rPr>
          <w:rFonts w:ascii="Calibri" w:cs="Calibri" w:eastAsia="Calibri" w:hAnsi="Calibri"/>
          <w:b/>
          <w:bCs/>
          <w:color w:val="FFFFFF"/>
          <w:sz w:val="20"/>
          <w:szCs w:val="20"/>
          <w:shd w:fill="DC2626" w:color="auto" w:val="clear"/>
        </w:rPr>
        <w:t xml:space="preserve">Week 1–2</w:t>
      </w:r>
      <w:r>
        <w:rPr>
          <w:rFonts w:ascii="Calibri" w:cs="Calibri" w:eastAsia="Calibri" w:hAnsi="Calibri"/>
          <w:b/>
          <w:bCs/>
          <w:color w:val="0A2540"/>
          <w:sz w:val="22"/>
          <w:szCs w:val="22"/>
        </w:rPr>
        <w:t xml:space="preserve">   Pixel Fix &amp; Audience Architecture</w:t>
      </w:r>
    </w:p>
    <w:p>
      <w:pPr>
        <w:pStyle w:val="ListParagraph"/>
        <w:numPr>
          <w:ilvl w:val="0"/>
          <w:numId w:val="1"/>
        </w:numPr>
        <w:spacing w:after="70"/>
        <w:ind w:left="288"/>
      </w:pPr>
      <w:r>
        <w:rPr>
          <w:rFonts w:ascii="Calibri" w:cs="Calibri" w:eastAsia="Calibri" w:hAnsi="Calibri"/>
          <w:color w:val="444444"/>
          <w:sz w:val="21"/>
          <w:szCs w:val="21"/>
        </w:rPr>
        <w:t xml:space="preserve">Corrected Pixel: moved Purchase event to order confirmation page — ROAS baseline immediately reset to true 2.1×</w:t>
      </w:r>
    </w:p>
    <w:p>
      <w:pPr>
        <w:pStyle w:val="ListParagraph"/>
        <w:numPr>
          <w:ilvl w:val="0"/>
          <w:numId w:val="1"/>
        </w:numPr>
        <w:spacing w:after="70"/>
        <w:ind w:left="288"/>
      </w:pPr>
      <w:r>
        <w:rPr>
          <w:rFonts w:ascii="Calibri" w:cs="Calibri" w:eastAsia="Calibri" w:hAnsi="Calibri"/>
          <w:color w:val="444444"/>
          <w:sz w:val="21"/>
          <w:szCs w:val="21"/>
        </w:rPr>
        <w:t xml:space="preserve">Uploaded 3,200-contact buyer list from Shopify to Meta — created Custom Audience + 1% Lookalike</w:t>
      </w:r>
    </w:p>
    <w:p>
      <w:pPr>
        <w:pStyle w:val="ListParagraph"/>
        <w:numPr>
          <w:ilvl w:val="0"/>
          <w:numId w:val="1"/>
        </w:numPr>
        <w:spacing w:after="70"/>
        <w:ind w:left="288"/>
      </w:pPr>
      <w:r>
        <w:rPr>
          <w:rFonts w:ascii="Calibri" w:cs="Calibri" w:eastAsia="Calibri" w:hAnsi="Calibri"/>
          <w:color w:val="444444"/>
          <w:sz w:val="21"/>
          <w:szCs w:val="21"/>
        </w:rPr>
        <w:t xml:space="preserve">Created 3-tier audience structure: Cold (Lookalike), Warm (Engagers 30 days), Hot (Cart abandoners 7 days)</w:t>
      </w:r>
    </w:p>
    <w:p>
      <w:pPr>
        <w:pStyle w:val="ListParagraph"/>
        <w:numPr>
          <w:ilvl w:val="0"/>
          <w:numId w:val="1"/>
        </w:numPr>
        <w:spacing w:after="70"/>
        <w:ind w:left="288"/>
      </w:pPr>
      <w:r>
        <w:rPr>
          <w:rFonts w:ascii="Calibri" w:cs="Calibri" w:eastAsia="Calibri" w:hAnsi="Calibri"/>
          <w:color w:val="444444"/>
          <w:sz w:val="21"/>
          <w:szCs w:val="21"/>
        </w:rPr>
        <w:t xml:space="preserve">Set up Conversions API alongside Pixel for cookieless tracking — improved attribution accuracy by ~30%</w:t>
      </w:r>
    </w:p>
    <w:p>
      <w:pPr>
        <w:spacing w:after="80" w:before="200"/>
      </w:pPr>
      <w:r>
        <w:rPr>
          <w:rFonts w:ascii="Calibri" w:cs="Calibri" w:eastAsia="Calibri" w:hAnsi="Calibri"/>
          <w:b/>
          <w:bCs/>
          <w:color w:val="FFFFFF"/>
          <w:sz w:val="20"/>
          <w:szCs w:val="20"/>
          <w:shd w:fill="DC2626" w:color="auto" w:val="clear"/>
        </w:rPr>
        <w:t xml:space="preserve">Week 3–6</w:t>
      </w:r>
      <w:r>
        <w:rPr>
          <w:rFonts w:ascii="Calibri" w:cs="Calibri" w:eastAsia="Calibri" w:hAnsi="Calibri"/>
          <w:b/>
          <w:bCs/>
          <w:color w:val="0A2540"/>
          <w:sz w:val="22"/>
          <w:szCs w:val="22"/>
        </w:rPr>
        <w:t xml:space="preserve">   Creative Production &amp; Campaign Build</w:t>
      </w:r>
    </w:p>
    <w:p>
      <w:pPr>
        <w:pStyle w:val="ListParagraph"/>
        <w:numPr>
          <w:ilvl w:val="0"/>
          <w:numId w:val="1"/>
        </w:numPr>
        <w:spacing w:after="70"/>
        <w:ind w:left="288"/>
      </w:pPr>
      <w:r>
        <w:rPr>
          <w:rFonts w:ascii="Calibri" w:cs="Calibri" w:eastAsia="Calibri" w:hAnsi="Calibri"/>
          <w:color w:val="444444"/>
          <w:sz w:val="21"/>
          <w:szCs w:val="21"/>
        </w:rPr>
        <w:t xml:space="preserve">Produced 3 creative variants in Canva: transformation before/after, ingredient science, customer review UGC-style</w:t>
      </w:r>
    </w:p>
    <w:p>
      <w:pPr>
        <w:pStyle w:val="ListParagraph"/>
        <w:numPr>
          <w:ilvl w:val="0"/>
          <w:numId w:val="1"/>
        </w:numPr>
        <w:spacing w:after="70"/>
        <w:ind w:left="288"/>
      </w:pPr>
      <w:r>
        <w:rPr>
          <w:rFonts w:ascii="Calibri" w:cs="Calibri" w:eastAsia="Calibri" w:hAnsi="Calibri"/>
          <w:color w:val="444444"/>
          <w:sz w:val="21"/>
          <w:szCs w:val="21"/>
        </w:rPr>
        <w:t xml:space="preserve">Built Advantage+ Shopping Campaign with all 3 creatives — let Meta AI test and optimise placements</w:t>
      </w:r>
    </w:p>
    <w:p>
      <w:pPr>
        <w:pStyle w:val="ListParagraph"/>
        <w:numPr>
          <w:ilvl w:val="0"/>
          <w:numId w:val="1"/>
        </w:numPr>
        <w:spacing w:after="70"/>
        <w:ind w:left="288"/>
      </w:pPr>
      <w:r>
        <w:rPr>
          <w:rFonts w:ascii="Calibri" w:cs="Calibri" w:eastAsia="Calibri" w:hAnsi="Calibri"/>
          <w:color w:val="444444"/>
          <w:sz w:val="21"/>
          <w:szCs w:val="21"/>
        </w:rPr>
        <w:t xml:space="preserve">Created retargeting campaign: cart abandoners (7 days) → urgency creative with limited-stock messaging</w:t>
      </w:r>
    </w:p>
    <w:p>
      <w:pPr>
        <w:pStyle w:val="ListParagraph"/>
        <w:numPr>
          <w:ilvl w:val="0"/>
          <w:numId w:val="1"/>
        </w:numPr>
        <w:spacing w:after="70"/>
        <w:ind w:left="288"/>
      </w:pPr>
      <w:r>
        <w:rPr>
          <w:rFonts w:ascii="Calibri" w:cs="Calibri" w:eastAsia="Calibri" w:hAnsi="Calibri"/>
          <w:color w:val="444444"/>
          <w:sz w:val="21"/>
          <w:szCs w:val="21"/>
        </w:rPr>
        <w:t xml:space="preserve">Launched warm retargeting: Instagram engagers (30 days) → social-proof testimonial creative</w:t>
      </w:r>
    </w:p>
    <w:p>
      <w:pPr>
        <w:spacing w:after="80" w:before="200"/>
      </w:pPr>
      <w:r>
        <w:rPr>
          <w:rFonts w:ascii="Calibri" w:cs="Calibri" w:eastAsia="Calibri" w:hAnsi="Calibri"/>
          <w:b/>
          <w:bCs/>
          <w:color w:val="FFFFFF"/>
          <w:sz w:val="20"/>
          <w:szCs w:val="20"/>
          <w:shd w:fill="DC2626" w:color="auto" w:val="clear"/>
        </w:rPr>
        <w:t xml:space="preserve">Week 7–12</w:t>
      </w:r>
      <w:r>
        <w:rPr>
          <w:rFonts w:ascii="Calibri" w:cs="Calibri" w:eastAsia="Calibri" w:hAnsi="Calibri"/>
          <w:b/>
          <w:bCs/>
          <w:color w:val="0A2540"/>
          <w:sz w:val="22"/>
          <w:szCs w:val="22"/>
        </w:rPr>
        <w:t xml:space="preserve">   Scale &amp; Optimisation</w:t>
      </w:r>
    </w:p>
    <w:p>
      <w:pPr>
        <w:pStyle w:val="ListParagraph"/>
        <w:numPr>
          <w:ilvl w:val="0"/>
          <w:numId w:val="1"/>
        </w:numPr>
        <w:spacing w:after="70"/>
        <w:ind w:left="288"/>
      </w:pPr>
      <w:r>
        <w:rPr>
          <w:rFonts w:ascii="Calibri" w:cs="Calibri" w:eastAsia="Calibri" w:hAnsi="Calibri"/>
          <w:color w:val="444444"/>
          <w:sz w:val="21"/>
          <w:szCs w:val="21"/>
        </w:rPr>
        <w:t xml:space="preserve">Paused lowest-performing creative after RM200 spend — scaled winner by 20% every 4 days</w:t>
      </w:r>
    </w:p>
    <w:p>
      <w:pPr>
        <w:pStyle w:val="ListParagraph"/>
        <w:numPr>
          <w:ilvl w:val="0"/>
          <w:numId w:val="1"/>
        </w:numPr>
        <w:spacing w:after="70"/>
        <w:ind w:left="288"/>
      </w:pPr>
      <w:r>
        <w:rPr>
          <w:rFonts w:ascii="Calibri" w:cs="Calibri" w:eastAsia="Calibri" w:hAnsi="Calibri"/>
          <w:color w:val="444444"/>
          <w:sz w:val="21"/>
          <w:szCs w:val="21"/>
        </w:rPr>
        <w:t xml:space="preserve">Expanded Lookalike from 1% to 2% after Advantage+ campaign exited learning phase with strong ROAS</w:t>
      </w:r>
    </w:p>
    <w:p>
      <w:pPr>
        <w:pStyle w:val="ListParagraph"/>
        <w:numPr>
          <w:ilvl w:val="0"/>
          <w:numId w:val="1"/>
        </w:numPr>
        <w:spacing w:after="70"/>
        <w:ind w:left="288"/>
      </w:pPr>
      <w:r>
        <w:rPr>
          <w:rFonts w:ascii="Calibri" w:cs="Calibri" w:eastAsia="Calibri" w:hAnsi="Calibri"/>
          <w:color w:val="444444"/>
          <w:sz w:val="21"/>
          <w:szCs w:val="21"/>
        </w:rPr>
        <w:t xml:space="preserve">Added prospecting campaign targeting Competitor Page engagers — 3.2× ROAS in month 3</w:t>
      </w:r>
    </w:p>
    <w:p>
      <w:pPr>
        <w:pStyle w:val="ListParagraph"/>
        <w:numPr>
          <w:ilvl w:val="0"/>
          <w:numId w:val="1"/>
        </w:numPr>
        <w:spacing w:after="70"/>
        <w:ind w:left="288"/>
      </w:pPr>
      <w:r>
        <w:rPr>
          <w:rFonts w:ascii="Calibri" w:cs="Calibri" w:eastAsia="Calibri" w:hAnsi="Calibri"/>
          <w:color w:val="444444"/>
          <w:sz w:val="21"/>
          <w:szCs w:val="21"/>
        </w:rPr>
        <w:t xml:space="preserve">Weekly creative refresh on retargeting — swapped headline every 2 weeks to prevent fatigue recurrence</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Creative &amp; Campaign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Ad Set</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Audience</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Spend (RM)</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CTR</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ROAS</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CPA (RM)</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Advantage+ Prospecting</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 Lookalike (Buyers)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3,200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2.4%</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5.1×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 88</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Cart Abandoner Retargeting</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Abandoned Cart 7 days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1,100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2.9%</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7.8×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 44</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Warm Retargeting</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IG Engagers 30 days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900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6.2×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 58</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Competitor Audience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Page Engagers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 112</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ROAS (true): 2.1×</w:t>
            </w:r>
          </w:p>
          <w:p>
            <w:pPr>
              <w:spacing w:after="60"/>
            </w:pPr>
            <w:r>
              <w:rPr>
                <w:rFonts w:ascii="Calibri" w:cs="Calibri" w:eastAsia="Calibri" w:hAnsi="Calibri"/>
                <w:color w:val="333333"/>
                <w:sz w:val="21"/>
                <w:szCs w:val="21"/>
              </w:rPr>
              <w:t xml:space="preserve">Cost Per Acquisition: RM 156</w:t>
            </w:r>
          </w:p>
          <w:p>
            <w:pPr>
              <w:spacing w:after="60"/>
            </w:pPr>
            <w:r>
              <w:rPr>
                <w:rFonts w:ascii="Calibri" w:cs="Calibri" w:eastAsia="Calibri" w:hAnsi="Calibri"/>
                <w:color w:val="333333"/>
                <w:sz w:val="21"/>
                <w:szCs w:val="21"/>
              </w:rPr>
              <w:t xml:space="preserve">Retargeting CTR: 0.8%</w:t>
            </w:r>
          </w:p>
          <w:p>
            <w:pPr>
              <w:spacing w:after="60"/>
            </w:pPr>
            <w:r>
              <w:rPr>
                <w:rFonts w:ascii="Calibri" w:cs="Calibri" w:eastAsia="Calibri" w:hAnsi="Calibri"/>
                <w:color w:val="333333"/>
                <w:sz w:val="21"/>
                <w:szCs w:val="21"/>
              </w:rPr>
              <w:t xml:space="preserve">Ad Frequency: 6.8</w:t>
            </w:r>
          </w:p>
          <w:p>
            <w:pPr>
              <w:spacing w:after="60"/>
            </w:pPr>
            <w:r>
              <w:rPr>
                <w:rFonts w:ascii="Calibri" w:cs="Calibri" w:eastAsia="Calibri" w:hAnsi="Calibri"/>
                <w:color w:val="333333"/>
                <w:sz w:val="21"/>
                <w:szCs w:val="21"/>
              </w:rPr>
              <w:t xml:space="preserve">Creative Variants Live: 1</w:t>
            </w:r>
          </w:p>
          <w:p>
            <w:pPr>
              <w:spacing w:after="60"/>
            </w:pPr>
            <w:r>
              <w:rPr>
                <w:rFonts w:ascii="Calibri" w:cs="Calibri" w:eastAsia="Calibri" w:hAnsi="Calibri"/>
                <w:color w:val="333333"/>
                <w:sz w:val="21"/>
                <w:szCs w:val="21"/>
              </w:rPr>
              <w:t xml:space="preserve">Audience Tiers: 1 (broad)</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ROAS (true): 5.3×</w:t>
            </w:r>
          </w:p>
          <w:p>
            <w:pPr>
              <w:spacing w:after="60"/>
            </w:pPr>
            <w:r>
              <w:rPr>
                <w:rFonts w:ascii="Calibri" w:cs="Calibri" w:eastAsia="Calibri" w:hAnsi="Calibri"/>
                <w:color w:val="333333"/>
                <w:sz w:val="21"/>
                <w:szCs w:val="21"/>
              </w:rPr>
              <w:t xml:space="preserve">Cost Per Acquisition: RM 97</w:t>
            </w:r>
          </w:p>
          <w:p>
            <w:pPr>
              <w:spacing w:after="60"/>
            </w:pPr>
            <w:r>
              <w:rPr>
                <w:rFonts w:ascii="Calibri" w:cs="Calibri" w:eastAsia="Calibri" w:hAnsi="Calibri"/>
                <w:color w:val="333333"/>
                <w:sz w:val="21"/>
                <w:szCs w:val="21"/>
              </w:rPr>
              <w:t xml:space="preserve">Retargeting CTR: 2.9%</w:t>
            </w:r>
          </w:p>
          <w:p>
            <w:pPr>
              <w:spacing w:after="60"/>
            </w:pPr>
            <w:r>
              <w:rPr>
                <w:rFonts w:ascii="Calibri" w:cs="Calibri" w:eastAsia="Calibri" w:hAnsi="Calibri"/>
                <w:color w:val="333333"/>
                <w:sz w:val="21"/>
                <w:szCs w:val="21"/>
              </w:rPr>
              <w:t xml:space="preserve">Ad Frequency: 2.1</w:t>
            </w:r>
          </w:p>
          <w:p>
            <w:pPr>
              <w:spacing w:after="60"/>
            </w:pPr>
            <w:r>
              <w:rPr>
                <w:rFonts w:ascii="Calibri" w:cs="Calibri" w:eastAsia="Calibri" w:hAnsi="Calibri"/>
                <w:color w:val="333333"/>
                <w:sz w:val="21"/>
                <w:szCs w:val="21"/>
              </w:rPr>
              <w:t xml:space="preserve">Creative Variants Live: 4</w:t>
            </w:r>
          </w:p>
          <w:p>
            <w:pPr>
              <w:spacing w:after="60"/>
            </w:pPr>
            <w:r>
              <w:rPr>
                <w:rFonts w:ascii="Calibri" w:cs="Calibri" w:eastAsia="Calibri" w:hAnsi="Calibri"/>
                <w:color w:val="333333"/>
                <w:sz w:val="21"/>
                <w:szCs w:val="21"/>
              </w:rPr>
              <w:t xml:space="preserve">Audience Tiers: 3 (cold/warm/hot)</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Deliverables Completed</w:t>
      </w:r>
    </w:p>
    <w:p>
      <w:pPr>
        <w:pStyle w:val="ListParagraph"/>
        <w:numPr>
          <w:ilvl w:val="0"/>
          <w:numId w:val="1"/>
        </w:numPr>
        <w:spacing w:after="80"/>
      </w:pPr>
      <w:r>
        <w:rPr>
          <w:rFonts w:ascii="Calibri" w:cs="Calibri" w:eastAsia="Calibri" w:hAnsi="Calibri"/>
          <w:color w:val="7F1D1D"/>
          <w:sz w:val="22"/>
          <w:szCs w:val="22"/>
        </w:rPr>
        <w:t xml:space="preserve">Meta Pixel audit &amp; Conversions API setup</w:t>
      </w:r>
    </w:p>
    <w:p>
      <w:pPr>
        <w:pStyle w:val="ListParagraph"/>
        <w:numPr>
          <w:ilvl w:val="0"/>
          <w:numId w:val="1"/>
        </w:numPr>
        <w:spacing w:after="80"/>
      </w:pPr>
      <w:r>
        <w:rPr>
          <w:rFonts w:ascii="Calibri" w:cs="Calibri" w:eastAsia="Calibri" w:hAnsi="Calibri"/>
          <w:color w:val="7F1D1D"/>
          <w:sz w:val="22"/>
          <w:szCs w:val="22"/>
        </w:rPr>
        <w:t xml:space="preserve">Purchase event correction on order confirmation page</w:t>
      </w:r>
    </w:p>
    <w:p>
      <w:pPr>
        <w:pStyle w:val="ListParagraph"/>
        <w:numPr>
          <w:ilvl w:val="0"/>
          <w:numId w:val="1"/>
        </w:numPr>
        <w:spacing w:after="80"/>
      </w:pPr>
      <w:r>
        <w:rPr>
          <w:rFonts w:ascii="Calibri" w:cs="Calibri" w:eastAsia="Calibri" w:hAnsi="Calibri"/>
          <w:color w:val="7F1D1D"/>
          <w:sz w:val="22"/>
          <w:szCs w:val="22"/>
        </w:rPr>
        <w:t xml:space="preserve">3-tier audience architecture (cold, warm, hot)</w:t>
      </w:r>
    </w:p>
    <w:p>
      <w:pPr>
        <w:pStyle w:val="ListParagraph"/>
        <w:numPr>
          <w:ilvl w:val="0"/>
          <w:numId w:val="1"/>
        </w:numPr>
        <w:spacing w:after="80"/>
      </w:pPr>
      <w:r>
        <w:rPr>
          <w:rFonts w:ascii="Calibri" w:cs="Calibri" w:eastAsia="Calibri" w:hAnsi="Calibri"/>
          <w:color w:val="7F1D1D"/>
          <w:sz w:val="22"/>
          <w:szCs w:val="22"/>
        </w:rPr>
        <w:t xml:space="preserve">1% Lookalike from 3,200-contact buyer list</w:t>
      </w:r>
    </w:p>
    <w:p>
      <w:pPr>
        <w:pStyle w:val="ListParagraph"/>
        <w:numPr>
          <w:ilvl w:val="0"/>
          <w:numId w:val="1"/>
        </w:numPr>
        <w:spacing w:after="80"/>
      </w:pPr>
      <w:r>
        <w:rPr>
          <w:rFonts w:ascii="Calibri" w:cs="Calibri" w:eastAsia="Calibri" w:hAnsi="Calibri"/>
          <w:color w:val="7F1D1D"/>
          <w:sz w:val="22"/>
          <w:szCs w:val="22"/>
        </w:rPr>
        <w:t xml:space="preserve">Advantage+ Shopping Campaign setup</w:t>
      </w:r>
    </w:p>
    <w:p>
      <w:pPr>
        <w:pStyle w:val="ListParagraph"/>
        <w:numPr>
          <w:ilvl w:val="0"/>
          <w:numId w:val="1"/>
        </w:numPr>
        <w:spacing w:after="80"/>
      </w:pPr>
      <w:r>
        <w:rPr>
          <w:rFonts w:ascii="Calibri" w:cs="Calibri" w:eastAsia="Calibri" w:hAnsi="Calibri"/>
          <w:color w:val="7F1D1D"/>
          <w:sz w:val="22"/>
          <w:szCs w:val="22"/>
        </w:rPr>
        <w:t xml:space="preserve">3 creative variants (transformation, science, UGC-style)</w:t>
      </w:r>
    </w:p>
    <w:p>
      <w:pPr>
        <w:pStyle w:val="ListParagraph"/>
        <w:numPr>
          <w:ilvl w:val="0"/>
          <w:numId w:val="1"/>
        </w:numPr>
        <w:spacing w:after="80"/>
      </w:pPr>
      <w:r>
        <w:rPr>
          <w:rFonts w:ascii="Calibri" w:cs="Calibri" w:eastAsia="Calibri" w:hAnsi="Calibri"/>
          <w:color w:val="7F1D1D"/>
          <w:sz w:val="22"/>
          <w:szCs w:val="22"/>
        </w:rPr>
        <w:t xml:space="preserve">Cart abandoner retargeting campaign</w:t>
      </w:r>
    </w:p>
    <w:p>
      <w:pPr>
        <w:pStyle w:val="ListParagraph"/>
        <w:numPr>
          <w:ilvl w:val="0"/>
          <w:numId w:val="1"/>
        </w:numPr>
        <w:spacing w:after="80"/>
      </w:pPr>
      <w:r>
        <w:rPr>
          <w:rFonts w:ascii="Calibri" w:cs="Calibri" w:eastAsia="Calibri" w:hAnsi="Calibri"/>
          <w:color w:val="7F1D1D"/>
          <w:sz w:val="22"/>
          <w:szCs w:val="22"/>
        </w:rPr>
        <w:t xml:space="preserve">Warm retargeting — Instagram engager sequence</w:t>
      </w:r>
    </w:p>
    <w:p>
      <w:pPr>
        <w:pStyle w:val="ListParagraph"/>
        <w:numPr>
          <w:ilvl w:val="0"/>
          <w:numId w:val="1"/>
        </w:numPr>
        <w:spacing w:after="80"/>
      </w:pPr>
      <w:r>
        <w:rPr>
          <w:rFonts w:ascii="Calibri" w:cs="Calibri" w:eastAsia="Calibri" w:hAnsi="Calibri"/>
          <w:color w:val="7F1D1D"/>
          <w:sz w:val="22"/>
          <w:szCs w:val="22"/>
        </w:rPr>
        <w:t xml:space="preserve">Competitor audience prospecting campaign</w:t>
      </w:r>
    </w:p>
    <w:p>
      <w:pPr>
        <w:pStyle w:val="ListParagraph"/>
        <w:numPr>
          <w:ilvl w:val="0"/>
          <w:numId w:val="1"/>
        </w:numPr>
        <w:spacing w:after="80"/>
      </w:pPr>
      <w:r>
        <w:rPr>
          <w:rFonts w:ascii="Calibri" w:cs="Calibri" w:eastAsia="Calibri" w:hAnsi="Calibri"/>
          <w:color w:val="7F1D1D"/>
          <w:sz w:val="22"/>
          <w:szCs w:val="22"/>
        </w:rPr>
        <w:t xml:space="preserve">Monthly creative performance report with fatigue alerts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Testimonial</w:t>
      </w:r>
    </w:p>
    <w:p>
      <w:pPr>
        <w:pBdr>
          <w:left w:val="thick" w:color="DC2626" w:sz="16"/>
        </w:pBdr>
        <w:shd w:fill="FEF2F2" w:color="auto" w:val="clear"/>
        <w:spacing w:after="80" w:before="140"/>
        <w:ind w:left="431"/>
      </w:pPr>
      <w:r>
        <w:rPr>
          <w:rFonts w:ascii="Calibri" w:cs="Calibri" w:eastAsia="Calibri" w:hAnsi="Calibri"/>
          <w:i/>
          <w:iCs/>
          <w:color w:val="1E293B"/>
          <w:sz w:val="22"/>
          <w:szCs w:val="22"/>
        </w:rPr>
        <w:t xml:space="preserve">"We thought our ads were working because the dashboard showed 4× ROAS. TechNext showed us the Pixel was broken and our real number was 2.1×. Three months later it's a genuine 5.3× and we actually trust the data now."</w:t>
      </w:r>
    </w:p>
    <w:p>
      <w:pPr>
        <w:spacing w:after="160"/>
        <w:ind w:left="431"/>
      </w:pPr>
      <w:r>
        <w:rPr>
          <w:rFonts w:ascii="Calibri" w:cs="Calibri" w:eastAsia="Calibri" w:hAnsi="Calibri"/>
          <w:b/>
          <w:bCs/>
          <w:color w:val="0A2540"/>
          <w:sz w:val="21"/>
          <w:szCs w:val="21"/>
        </w:rPr>
        <w:t xml:space="preserve">Natasha Yap</w:t>
      </w:r>
      <w:r>
        <w:rPr>
          <w:rFonts w:ascii="Calibri" w:cs="Calibri" w:eastAsia="Calibri" w:hAnsi="Calibri"/>
          <w:color w:val="555555"/>
          <w:sz w:val="20"/>
          <w:szCs w:val="20"/>
        </w:rPr>
        <w:t xml:space="preserve">  ·  Founder, SkinRitual Sdn Bhd</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2026-05-01T06:54:33.171Z</dcterms:created>
  <dcterms:modified xsi:type="dcterms:W3CDTF">2026-05-01T06:54:33.171Z</dcterms:modified>
</cp:coreProperties>
</file>

<file path=docProps/custom.xml><?xml version="1.0" encoding="utf-8"?>
<Properties xmlns="http://schemas.openxmlformats.org/officeDocument/2006/custom-properties" xmlns:vt="http://schemas.openxmlformats.org/officeDocument/2006/docPropsVTypes"/>
</file>