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888888"/>
          <w:sz w:val="18"/>
          <w:szCs w:val="18"/>
        </w:rPr>
        <w:t xml:space="preserve">HARD TIER — CASE STUDY</w:t>
      </w:r>
    </w:p>
    <w:p>
      <w:pPr>
        <w:spacing w:after="80"/>
      </w:pPr>
      <w:r>
        <w:rPr>
          <w:rFonts w:ascii="Calibri" w:cs="Calibri" w:eastAsia="Calibri" w:hAnsi="Calibri"/>
          <w:b/>
          <w:bCs/>
          <w:color w:val="0A2540"/>
          <w:sz w:val="46"/>
          <w:szCs w:val="46"/>
        </w:rPr>
        <w:t xml:space="preserve">AI Ad Optimization</w:t>
      </w:r>
    </w:p>
    <w:p>
      <w:pPr>
        <w:spacing w:after="80"/>
      </w:pPr>
      <w:r>
        <w:rPr>
          <w:rFonts w:ascii="Calibri" w:cs="Calibri" w:eastAsia="Calibri" w:hAnsi="Calibri"/>
          <w:i/>
          <w:iCs/>
          <w:color w:val="555555"/>
          <w:sz w:val="22"/>
          <w:szCs w:val="22"/>
        </w:rPr>
        <w:t xml:space="preserve">How an activewear brand achieved 5.6× ROAS using Google Performance Max and Meta Advantage+ AI bidding</w:t>
      </w:r>
    </w:p>
    <w:p>
      <w:pPr>
        <w:spacing w:after="80"/>
      </w:pPr>
      <w:r>
        <w:rPr>
          <w:rFonts w:ascii="Calibri" w:cs="Calibri" w:eastAsia="Calibri" w:hAnsi="Calibri"/>
          <w:color w:val="64748B"/>
          <w:sz w:val="20"/>
          <w:szCs w:val="20"/>
        </w:rPr>
        <w:t xml:space="preserve">🏢 TerraGear Sdn Bhd   |   🏃 Outdoor &amp; Activewear E-Commerce   |   📍 Shah Alam, Selangor   |   📅 Jan – Mar 2026</w:t>
      </w:r>
    </w:p>
    <w:p>
      <w:pPr>
        <w:pBdr>
          <w:bottom w:val="single" w:color="0A2540" w:sz="8"/>
        </w:pBdr>
        <w:spacing w:after="40" w:before="4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FECACA" w:sz="4"/>
              <w:left w:val="single" w:color="FECACA" w:sz="4"/>
              <w:bottom w:val="single" w:color="FECACA" w:sz="4"/>
              <w:right w:val="single" w:color="FECACA" w:sz="4"/>
            </w:tcBorders>
            <w:shd w:fill="FEF2F2" w:color="auto" w:val="clear"/>
            <w:tcMar>
              <w:top w:type="dxa" w:w="172"/>
              <w:left w:type="dxa" w:w="144"/>
              <w:bottom w:type="dxa" w:w="172"/>
              <w:right w:type="dxa" w:w="144"/>
            </w:tcMar>
          </w:tcPr>
          <w:p>
            <w:pPr>
              <w:spacing w:after="40"/>
              <w:jc w:val="center"/>
            </w:pPr>
            <w:r>
              <w:rPr>
                <w:rFonts w:ascii="Calibri" w:cs="Calibri" w:eastAsia="Calibri" w:hAnsi="Calibri"/>
                <w:b/>
                <w:bCs/>
                <w:color w:val="DC2626"/>
                <w:sz w:val="40"/>
                <w:szCs w:val="40"/>
              </w:rPr>
              <w:t xml:space="preserve">5.6×</w:t>
            </w:r>
          </w:p>
          <w:p>
            <w:pPr>
              <w:jc w:val="center"/>
            </w:pPr>
            <w:r>
              <w:rPr>
                <w:rFonts w:ascii="Calibri" w:cs="Calibri" w:eastAsia="Calibri" w:hAnsi="Calibri"/>
                <w:color w:val="555555"/>
                <w:sz w:val="20"/>
                <w:szCs w:val="20"/>
              </w:rPr>
              <w:t xml:space="preserve">ROAS with AI Bidding (vs 2.4× manual)</w:t>
            </w:r>
          </w:p>
        </w:tc>
        <w:tc>
          <w:tcPr>
            <w:tcBorders>
              <w:top w:val="single" w:color="FECACA" w:sz="4"/>
              <w:left w:val="single" w:color="FECACA" w:sz="4"/>
              <w:bottom w:val="single" w:color="FECACA" w:sz="4"/>
              <w:right w:val="single" w:color="FECACA" w:sz="4"/>
            </w:tcBorders>
            <w:shd w:fill="FEF2F2" w:color="auto" w:val="clear"/>
            <w:tcMar>
              <w:top w:type="dxa" w:w="172"/>
              <w:left w:type="dxa" w:w="144"/>
              <w:bottom w:type="dxa" w:w="172"/>
              <w:right w:type="dxa" w:w="144"/>
            </w:tcMar>
          </w:tcPr>
          <w:p>
            <w:pPr>
              <w:spacing w:after="40"/>
              <w:jc w:val="center"/>
            </w:pPr>
            <w:r>
              <w:rPr>
                <w:rFonts w:ascii="Calibri" w:cs="Calibri" w:eastAsia="Calibri" w:hAnsi="Calibri"/>
                <w:b/>
                <w:bCs/>
                <w:color w:val="DC2626"/>
                <w:sz w:val="40"/>
                <w:szCs w:val="40"/>
              </w:rPr>
              <w:t xml:space="preserve">-47%</w:t>
            </w:r>
          </w:p>
          <w:p>
            <w:pPr>
              <w:jc w:val="center"/>
            </w:pPr>
            <w:r>
              <w:rPr>
                <w:rFonts w:ascii="Calibri" w:cs="Calibri" w:eastAsia="Calibri" w:hAnsi="Calibri"/>
                <w:color w:val="555555"/>
                <w:sz w:val="20"/>
                <w:szCs w:val="20"/>
              </w:rPr>
              <w:t xml:space="preserve">Cost Per Acquisition vs Manual Campaigns</w:t>
            </w:r>
          </w:p>
        </w:tc>
        <w:tc>
          <w:tcPr>
            <w:tcBorders>
              <w:top w:val="single" w:color="FECACA" w:sz="4"/>
              <w:left w:val="single" w:color="FECACA" w:sz="4"/>
              <w:bottom w:val="single" w:color="FECACA" w:sz="4"/>
              <w:right w:val="single" w:color="FECACA" w:sz="4"/>
            </w:tcBorders>
            <w:shd w:fill="FEF2F2" w:color="auto" w:val="clear"/>
            <w:tcMar>
              <w:top w:type="dxa" w:w="172"/>
              <w:left w:type="dxa" w:w="144"/>
              <w:bottom w:type="dxa" w:w="172"/>
              <w:right w:type="dxa" w:w="144"/>
            </w:tcMar>
          </w:tcPr>
          <w:p>
            <w:pPr>
              <w:spacing w:after="40"/>
              <w:jc w:val="center"/>
            </w:pPr>
            <w:r>
              <w:rPr>
                <w:rFonts w:ascii="Calibri" w:cs="Calibri" w:eastAsia="Calibri" w:hAnsi="Calibri"/>
                <w:b/>
                <w:bCs/>
                <w:color w:val="DC2626"/>
                <w:sz w:val="40"/>
                <w:szCs w:val="40"/>
              </w:rPr>
              <w:t xml:space="preserve">11 days</w:t>
            </w:r>
          </w:p>
          <w:p>
            <w:pPr>
              <w:jc w:val="center"/>
            </w:pPr>
            <w:r>
              <w:rPr>
                <w:rFonts w:ascii="Calibri" w:cs="Calibri" w:eastAsia="Calibri" w:hAnsi="Calibri"/>
                <w:color w:val="555555"/>
                <w:sz w:val="20"/>
                <w:szCs w:val="20"/>
              </w:rPr>
              <w:t xml:space="preserve">AI Learning Phase Completed</w:t>
            </w:r>
          </w:p>
        </w:tc>
      </w:tr>
    </w:tbl>
    <w:p>
      <w:pPr>
        <w:spacing w:after="120"/>
      </w:pPr>
      <w:r>
        <w:rPr>
          <w:rFonts w:ascii="Calibri" w:cs="Calibri" w:eastAsia="Calibri" w:hAnsi="Calibri"/>
          <w:sz w:val="4"/>
          <w:szCs w:val="4"/>
        </w:rPr>
        <w:t xml:space="preserve"> </w:t>
      </w:r>
    </w:p>
    <w:p>
      <w:pPr>
        <w:pBdr>
          <w:bottom w:val="single" w:color="DC2626" w:sz="4"/>
        </w:pBdr>
        <w:spacing w:after="100" w:before="320"/>
      </w:pPr>
      <w:r>
        <w:rPr>
          <w:rFonts w:ascii="Calibri" w:cs="Calibri" w:eastAsia="Calibri" w:hAnsi="Calibri"/>
          <w:b/>
          <w:bCs/>
          <w:color w:val="0A2540"/>
          <w:sz w:val="26"/>
          <w:szCs w:val="26"/>
        </w:rPr>
        <w:t xml:space="preserve">Client Overview</w:t>
      </w:r>
    </w:p>
    <w:p>
      <w:pPr>
        <w:spacing w:after="100"/>
      </w:pPr>
      <w:r>
        <w:rPr>
          <w:rFonts w:ascii="Calibri" w:cs="Calibri" w:eastAsia="Calibri" w:hAnsi="Calibri"/>
          <w:color w:val="333333"/>
          <w:sz w:val="22"/>
          <w:szCs w:val="22"/>
        </w:rPr>
        <w:t xml:space="preserve">TerraGear is a Malaysian outdoor and activewear brand offering performance running gear, trail shoes, and gym apparel through their Shopify store and Lazada storefront. Their paid media was managed manually — a marketing coordinator adjusting bids weekly based on intuition, resulting in inconsistent performance and significant budget waste during off-peak hours.</w:t>
      </w:r>
    </w:p>
    <w:p>
      <w:pPr>
        <w:spacing w:after="100"/>
      </w:pPr>
      <w:r>
        <w:rPr>
          <w:rFonts w:ascii="Calibri" w:cs="Calibri" w:eastAsia="Calibri" w:hAnsi="Calibri"/>
          <w:color w:val="333333"/>
          <w:sz w:val="22"/>
          <w:szCs w:val="22"/>
        </w:rPr>
        <w:t xml:space="preserve">The brand had tried Google's Smart Bidding briefly in 2024 but abandoned it after two weeks when ROAS dipped during the learning phase — a common mistake that prevented the AI from completing its optimisation cycle. Meta Ads were running standard placements with manual bid caps, underutilising Meta's Advantage+ algorithm designed for exactly their product category.</w:t>
      </w:r>
    </w:p>
    <w:p>
      <w:pPr>
        <w:spacing w:after="100"/>
      </w:pPr>
      <w:r>
        <w:rPr>
          <w:rFonts w:ascii="Calibri" w:cs="Calibri" w:eastAsia="Calibri" w:hAnsi="Calibri"/>
          <w:color w:val="333333"/>
          <w:sz w:val="22"/>
          <w:szCs w:val="22"/>
        </w:rPr>
        <w:t xml:space="preserve">TechNext Asia led the full transition to AI-managed paid media: enabling Google Performance Max with a properly structured asset group, launching Meta Advantage+ Shopping Campaign, establishing clear rules for the learning phase, and implementing a 14-day review cycle that scaled budgets without disrupting the AI's learning curve.</w:t>
      </w:r>
    </w:p>
    <w:p>
      <w:pPr>
        <w:spacing w:after="40"/>
      </w:pPr>
      <w:r>
        <w:rPr>
          <w:rFonts w:ascii="Calibri" w:cs="Calibri" w:eastAsia="Calibri" w:hAnsi="Calibri"/>
          <w:sz w:val="4"/>
          <w:szCs w:val="4"/>
        </w:rPr>
        <w:t xml:space="preserve"> </w:t>
      </w:r>
    </w:p>
    <w:p>
      <w:pPr>
        <w:pBdr>
          <w:bottom w:val="single" w:color="DC2626" w:sz="4"/>
        </w:pBdr>
        <w:spacing w:after="100" w:before="320"/>
      </w:pPr>
      <w:r>
        <w:rPr>
          <w:rFonts w:ascii="Calibri" w:cs="Calibri" w:eastAsia="Calibri" w:hAnsi="Calibri"/>
          <w:b/>
          <w:bCs/>
          <w:color w:val="0A2540"/>
          <w:sz w:val="26"/>
          <w:szCs w:val="26"/>
        </w:rPr>
        <w:t xml:space="preserve">The Challenge</w:t>
      </w:r>
    </w:p>
    <w:p>
      <w:pPr>
        <w:pStyle w:val="ListParagraph"/>
        <w:numPr>
          <w:ilvl w:val="0"/>
          <w:numId w:val="1"/>
        </w:numPr>
        <w:spacing w:after="80"/>
      </w:pPr>
      <w:r>
        <w:rPr>
          <w:rFonts w:ascii="Calibri" w:cs="Calibri" w:eastAsia="Calibri" w:hAnsi="Calibri"/>
          <w:color w:val="333333"/>
          <w:sz w:val="22"/>
          <w:szCs w:val="22"/>
        </w:rPr>
        <w:t xml:space="preserve">Previous Smart Bidding attempt abandoned after 12 days — AI never completed learning phase before being paused</w:t>
      </w:r>
    </w:p>
    <w:p>
      <w:pPr>
        <w:pStyle w:val="ListParagraph"/>
        <w:numPr>
          <w:ilvl w:val="0"/>
          <w:numId w:val="1"/>
        </w:numPr>
        <w:spacing w:after="80"/>
      </w:pPr>
      <w:r>
        <w:rPr>
          <w:rFonts w:ascii="Calibri" w:cs="Calibri" w:eastAsia="Calibri" w:hAnsi="Calibri"/>
          <w:color w:val="333333"/>
          <w:sz w:val="22"/>
          <w:szCs w:val="22"/>
        </w:rPr>
        <w:t xml:space="preserve">Manual bid adjustments 3–4 times per week were constantly resetting Google's algorithm learning cycle</w:t>
      </w:r>
    </w:p>
    <w:p>
      <w:pPr>
        <w:pStyle w:val="ListParagraph"/>
        <w:numPr>
          <w:ilvl w:val="0"/>
          <w:numId w:val="1"/>
        </w:numPr>
        <w:spacing w:after="80"/>
      </w:pPr>
      <w:r>
        <w:rPr>
          <w:rFonts w:ascii="Calibri" w:cs="Calibri" w:eastAsia="Calibri" w:hAnsi="Calibri"/>
          <w:color w:val="333333"/>
          <w:sz w:val="22"/>
          <w:szCs w:val="22"/>
        </w:rPr>
        <w:t xml:space="preserve">Meta campaigns running manual bid caps that prevented Meta AI from optimising across placements and audiences</w:t>
      </w:r>
    </w:p>
    <w:p>
      <w:pPr>
        <w:pStyle w:val="ListParagraph"/>
        <w:numPr>
          <w:ilvl w:val="0"/>
          <w:numId w:val="1"/>
        </w:numPr>
        <w:spacing w:after="80"/>
      </w:pPr>
      <w:r>
        <w:rPr>
          <w:rFonts w:ascii="Calibri" w:cs="Calibri" w:eastAsia="Calibri" w:hAnsi="Calibri"/>
          <w:color w:val="333333"/>
          <w:sz w:val="22"/>
          <w:szCs w:val="22"/>
        </w:rPr>
        <w:t xml:space="preserve">Creative assets in both platforms were 6+ months old — Performance Max requires fresh assets to test effectively</w:t>
      </w:r>
    </w:p>
    <w:p>
      <w:pPr>
        <w:pStyle w:val="ListParagraph"/>
        <w:numPr>
          <w:ilvl w:val="0"/>
          <w:numId w:val="1"/>
        </w:numPr>
        <w:spacing w:after="80"/>
      </w:pPr>
      <w:r>
        <w:rPr>
          <w:rFonts w:ascii="Calibri" w:cs="Calibri" w:eastAsia="Calibri" w:hAnsi="Calibri"/>
          <w:color w:val="333333"/>
          <w:sz w:val="22"/>
          <w:szCs w:val="22"/>
        </w:rPr>
        <w:t xml:space="preserve">No exclusion lists in Google — branded searches and competitor queries mixing with product intent campaigns</w:t>
      </w:r>
    </w:p>
    <w:p>
      <w:pPr>
        <w:pStyle w:val="ListParagraph"/>
        <w:numPr>
          <w:ilvl w:val="0"/>
          <w:numId w:val="1"/>
        </w:numPr>
        <w:spacing w:after="80"/>
      </w:pPr>
      <w:r>
        <w:rPr>
          <w:rFonts w:ascii="Calibri" w:cs="Calibri" w:eastAsia="Calibri" w:hAnsi="Calibri"/>
          <w:color w:val="333333"/>
          <w:sz w:val="22"/>
          <w:szCs w:val="22"/>
        </w:rPr>
        <w:t xml:space="preserve">ROAS targets set unrealistically high (8×) on day 1 — forcing algorithm to restrict delivery to meet an impossible target</w:t>
      </w:r>
    </w:p>
    <w:p>
      <w:pPr>
        <w:pStyle w:val="ListParagraph"/>
        <w:numPr>
          <w:ilvl w:val="0"/>
          <w:numId w:val="1"/>
        </w:numPr>
        <w:spacing w:after="80"/>
      </w:pPr>
      <w:r>
        <w:rPr>
          <w:rFonts w:ascii="Calibri" w:cs="Calibri" w:eastAsia="Calibri" w:hAnsi="Calibri"/>
          <w:color w:val="333333"/>
          <w:sz w:val="22"/>
          <w:szCs w:val="22"/>
        </w:rPr>
        <w:t xml:space="preserve">No systematic 14-day review cycle — budget changes were reactive to daily fluctuations rather than trend-based</w:t>
      </w:r>
    </w:p>
    <w:p>
      <w:pPr>
        <w:spacing w:after="40"/>
      </w:pPr>
      <w:r>
        <w:rPr>
          <w:rFonts w:ascii="Calibri" w:cs="Calibri" w:eastAsia="Calibri" w:hAnsi="Calibri"/>
          <w:sz w:val="4"/>
          <w:szCs w:val="4"/>
        </w:rPr>
        <w:t xml:space="preserve"> </w:t>
      </w:r>
    </w:p>
    <w:p>
      <w:pPr>
        <w:pBdr>
          <w:bottom w:val="single" w:color="DC2626" w:sz="4"/>
        </w:pBdr>
        <w:spacing w:after="100" w:before="320"/>
      </w:pPr>
      <w:r>
        <w:rPr>
          <w:rFonts w:ascii="Calibri" w:cs="Calibri" w:eastAsia="Calibri" w:hAnsi="Calibri"/>
          <w:b/>
          <w:bCs/>
          <w:color w:val="0A2540"/>
          <w:sz w:val="26"/>
          <w:szCs w:val="26"/>
        </w:rPr>
        <w:t xml:space="preserve">Our 12-Week AI Transition Approach</w:t>
      </w:r>
    </w:p>
    <w:p>
      <w:pPr>
        <w:spacing w:after="80" w:before="200"/>
      </w:pPr>
      <w:r>
        <w:rPr>
          <w:rFonts w:ascii="Calibri" w:cs="Calibri" w:eastAsia="Calibri" w:hAnsi="Calibri"/>
          <w:b/>
          <w:bCs/>
          <w:color w:val="FFFFFF"/>
          <w:sz w:val="20"/>
          <w:szCs w:val="20"/>
          <w:shd w:fill="DC2626" w:color="auto" w:val="clear"/>
        </w:rPr>
        <w:t xml:space="preserve">Week 1–2</w:t>
      </w:r>
      <w:r>
        <w:rPr>
          <w:rFonts w:ascii="Calibri" w:cs="Calibri" w:eastAsia="Calibri" w:hAnsi="Calibri"/>
          <w:b/>
          <w:bCs/>
          <w:color w:val="0A2540"/>
          <w:sz w:val="22"/>
          <w:szCs w:val="22"/>
        </w:rPr>
        <w:t xml:space="preserve">   Asset Preparation &amp; Account Configuration</w:t>
      </w:r>
    </w:p>
    <w:p>
      <w:pPr>
        <w:pStyle w:val="ListParagraph"/>
        <w:numPr>
          <w:ilvl w:val="0"/>
          <w:numId w:val="1"/>
        </w:numPr>
        <w:spacing w:after="70"/>
        <w:ind w:left="288"/>
      </w:pPr>
      <w:r>
        <w:rPr>
          <w:rFonts w:ascii="Calibri" w:cs="Calibri" w:eastAsia="Calibri" w:hAnsi="Calibri"/>
          <w:color w:val="444444"/>
          <w:sz w:val="21"/>
          <w:szCs w:val="21"/>
        </w:rPr>
        <w:t xml:space="preserve">Produced 5 new creative assets in Canva per platform: lifestyle imagery, product flat-lay, athlete-in-use, UGC-style video, brand story</w:t>
      </w:r>
    </w:p>
    <w:p>
      <w:pPr>
        <w:pStyle w:val="ListParagraph"/>
        <w:numPr>
          <w:ilvl w:val="0"/>
          <w:numId w:val="1"/>
        </w:numPr>
        <w:spacing w:after="70"/>
        <w:ind w:left="288"/>
      </w:pPr>
      <w:r>
        <w:rPr>
          <w:rFonts w:ascii="Calibri" w:cs="Calibri" w:eastAsia="Calibri" w:hAnsi="Calibri"/>
          <w:color w:val="444444"/>
          <w:sz w:val="21"/>
          <w:szCs w:val="21"/>
        </w:rPr>
        <w:t xml:space="preserve">Set realistic initial ROAS targets: Google 3.5× (vs previous manual 2.4×), Meta 4× — targets designed to allow learning phase completion</w:t>
      </w:r>
    </w:p>
    <w:p>
      <w:pPr>
        <w:pStyle w:val="ListParagraph"/>
        <w:numPr>
          <w:ilvl w:val="0"/>
          <w:numId w:val="1"/>
        </w:numPr>
        <w:spacing w:after="70"/>
        <w:ind w:left="288"/>
      </w:pPr>
      <w:r>
        <w:rPr>
          <w:rFonts w:ascii="Calibri" w:cs="Calibri" w:eastAsia="Calibri" w:hAnsi="Calibri"/>
          <w:color w:val="444444"/>
          <w:sz w:val="21"/>
          <w:szCs w:val="21"/>
        </w:rPr>
        <w:t xml:space="preserve">In Google Ads: disabled all Manual CPC campaigns — migrated budget to Performance Max with 15 assets loaded per asset group</w:t>
      </w:r>
    </w:p>
    <w:p>
      <w:pPr>
        <w:pStyle w:val="ListParagraph"/>
        <w:numPr>
          <w:ilvl w:val="0"/>
          <w:numId w:val="1"/>
        </w:numPr>
        <w:spacing w:after="70"/>
        <w:ind w:left="288"/>
      </w:pPr>
      <w:r>
        <w:rPr>
          <w:rFonts w:ascii="Calibri" w:cs="Calibri" w:eastAsia="Calibri" w:hAnsi="Calibri"/>
          <w:color w:val="444444"/>
          <w:sz w:val="21"/>
          <w:szCs w:val="21"/>
        </w:rPr>
        <w:t xml:space="preserve">In Meta: launched Advantage+ Shopping Campaign with RM150/day — strict instruction to zero adjustments for first 7 days</w:t>
      </w:r>
    </w:p>
    <w:p>
      <w:pPr>
        <w:spacing w:after="80" w:before="200"/>
      </w:pPr>
      <w:r>
        <w:rPr>
          <w:rFonts w:ascii="Calibri" w:cs="Calibri" w:eastAsia="Calibri" w:hAnsi="Calibri"/>
          <w:b/>
          <w:bCs/>
          <w:color w:val="FFFFFF"/>
          <w:sz w:val="20"/>
          <w:szCs w:val="20"/>
          <w:shd w:fill="DC2626" w:color="auto" w:val="clear"/>
        </w:rPr>
        <w:t xml:space="preserve">Week 3–6</w:t>
      </w:r>
      <w:r>
        <w:rPr>
          <w:rFonts w:ascii="Calibri" w:cs="Calibri" w:eastAsia="Calibri" w:hAnsi="Calibri"/>
          <w:b/>
          <w:bCs/>
          <w:color w:val="0A2540"/>
          <w:sz w:val="22"/>
          <w:szCs w:val="22"/>
        </w:rPr>
        <w:t xml:space="preserve">   Learning Phase Management</w:t>
      </w:r>
    </w:p>
    <w:p>
      <w:pPr>
        <w:pStyle w:val="ListParagraph"/>
        <w:numPr>
          <w:ilvl w:val="0"/>
          <w:numId w:val="1"/>
        </w:numPr>
        <w:spacing w:after="70"/>
        <w:ind w:left="288"/>
      </w:pPr>
      <w:r>
        <w:rPr>
          <w:rFonts w:ascii="Calibri" w:cs="Calibri" w:eastAsia="Calibri" w:hAnsi="Calibri"/>
          <w:color w:val="444444"/>
          <w:sz w:val="21"/>
          <w:szCs w:val="21"/>
        </w:rPr>
        <w:t xml:space="preserve">Monitored Performance Max daily but made zero bid or budget changes — allowed full 14-day learning cycle to complete</w:t>
      </w:r>
    </w:p>
    <w:p>
      <w:pPr>
        <w:pStyle w:val="ListParagraph"/>
        <w:numPr>
          <w:ilvl w:val="0"/>
          <w:numId w:val="1"/>
        </w:numPr>
        <w:spacing w:after="70"/>
        <w:ind w:left="288"/>
      </w:pPr>
      <w:r>
        <w:rPr>
          <w:rFonts w:ascii="Calibri" w:cs="Calibri" w:eastAsia="Calibri" w:hAnsi="Calibri"/>
          <w:color w:val="444444"/>
          <w:sz w:val="21"/>
          <w:szCs w:val="21"/>
        </w:rPr>
        <w:t xml:space="preserve">Google Performance Max exited learning phase on day 11 — ROAS climbed from 1.8× (learning) to 3.8× in week 3</w:t>
      </w:r>
    </w:p>
    <w:p>
      <w:pPr>
        <w:pStyle w:val="ListParagraph"/>
        <w:numPr>
          <w:ilvl w:val="0"/>
          <w:numId w:val="1"/>
        </w:numPr>
        <w:spacing w:after="70"/>
        <w:ind w:left="288"/>
      </w:pPr>
      <w:r>
        <w:rPr>
          <w:rFonts w:ascii="Calibri" w:cs="Calibri" w:eastAsia="Calibri" w:hAnsi="Calibri"/>
          <w:color w:val="444444"/>
          <w:sz w:val="21"/>
          <w:szCs w:val="21"/>
        </w:rPr>
        <w:t xml:space="preserve">Meta Advantage+ exited learning phase at day 9 — cost per purchase dropped 28% within 48 hours of exit</w:t>
      </w:r>
    </w:p>
    <w:p>
      <w:pPr>
        <w:pStyle w:val="ListParagraph"/>
        <w:numPr>
          <w:ilvl w:val="0"/>
          <w:numId w:val="1"/>
        </w:numPr>
        <w:spacing w:after="70"/>
        <w:ind w:left="288"/>
      </w:pPr>
      <w:r>
        <w:rPr>
          <w:rFonts w:ascii="Calibri" w:cs="Calibri" w:eastAsia="Calibri" w:hAnsi="Calibri"/>
          <w:color w:val="444444"/>
          <w:sz w:val="21"/>
          <w:szCs w:val="21"/>
        </w:rPr>
        <w:t xml:space="preserve">Added brand campaign separately in Google Search to protect branded queries — prevented PMax from over-bidding on brand traffic</w:t>
      </w:r>
    </w:p>
    <w:p>
      <w:pPr>
        <w:spacing w:after="80" w:before="200"/>
      </w:pPr>
      <w:r>
        <w:rPr>
          <w:rFonts w:ascii="Calibri" w:cs="Calibri" w:eastAsia="Calibri" w:hAnsi="Calibri"/>
          <w:b/>
          <w:bCs/>
          <w:color w:val="FFFFFF"/>
          <w:sz w:val="20"/>
          <w:szCs w:val="20"/>
          <w:shd w:fill="DC2626" w:color="auto" w:val="clear"/>
        </w:rPr>
        <w:t xml:space="preserve">Week 7–12</w:t>
      </w:r>
      <w:r>
        <w:rPr>
          <w:rFonts w:ascii="Calibri" w:cs="Calibri" w:eastAsia="Calibri" w:hAnsi="Calibri"/>
          <w:b/>
          <w:bCs/>
          <w:color w:val="0A2540"/>
          <w:sz w:val="22"/>
          <w:szCs w:val="22"/>
        </w:rPr>
        <w:t xml:space="preserve">   Scale &amp; Optimisation Cycles</w:t>
      </w:r>
    </w:p>
    <w:p>
      <w:pPr>
        <w:pStyle w:val="ListParagraph"/>
        <w:numPr>
          <w:ilvl w:val="0"/>
          <w:numId w:val="1"/>
        </w:numPr>
        <w:spacing w:after="70"/>
        <w:ind w:left="288"/>
      </w:pPr>
      <w:r>
        <w:rPr>
          <w:rFonts w:ascii="Calibri" w:cs="Calibri" w:eastAsia="Calibri" w:hAnsi="Calibri"/>
          <w:color w:val="444444"/>
          <w:sz w:val="21"/>
          <w:szCs w:val="21"/>
        </w:rPr>
        <w:t xml:space="preserve">Increased Google PMax budget 20% on day 21 — ROAS held at 4.9× after 4-day stabilisation period</w:t>
      </w:r>
    </w:p>
    <w:p>
      <w:pPr>
        <w:pStyle w:val="ListParagraph"/>
        <w:numPr>
          <w:ilvl w:val="0"/>
          <w:numId w:val="1"/>
        </w:numPr>
        <w:spacing w:after="70"/>
        <w:ind w:left="288"/>
      </w:pPr>
      <w:r>
        <w:rPr>
          <w:rFonts w:ascii="Calibri" w:cs="Calibri" w:eastAsia="Calibri" w:hAnsi="Calibri"/>
          <w:color w:val="444444"/>
          <w:sz w:val="21"/>
          <w:szCs w:val="21"/>
        </w:rPr>
        <w:t xml:space="preserve">Increased Meta budget 20% on day 24 — CPP improved further to RM68 as lookalike modelling matured</w:t>
      </w:r>
    </w:p>
    <w:p>
      <w:pPr>
        <w:pStyle w:val="ListParagraph"/>
        <w:numPr>
          <w:ilvl w:val="0"/>
          <w:numId w:val="1"/>
        </w:numPr>
        <w:spacing w:after="70"/>
        <w:ind w:left="288"/>
      </w:pPr>
      <w:r>
        <w:rPr>
          <w:rFonts w:ascii="Calibri" w:cs="Calibri" w:eastAsia="Calibri" w:hAnsi="Calibri"/>
          <w:color w:val="444444"/>
          <w:sz w:val="21"/>
          <w:szCs w:val="21"/>
        </w:rPr>
        <w:t xml:space="preserve">Uploaded 3 new creative assets to PMax at week 8 — replaced 2 underperforming assets identified by asset reporting</w:t>
      </w:r>
    </w:p>
    <w:p>
      <w:pPr>
        <w:pStyle w:val="ListParagraph"/>
        <w:numPr>
          <w:ilvl w:val="0"/>
          <w:numId w:val="1"/>
        </w:numPr>
        <w:spacing w:after="70"/>
        <w:ind w:left="288"/>
      </w:pPr>
      <w:r>
        <w:rPr>
          <w:rFonts w:ascii="Calibri" w:cs="Calibri" w:eastAsia="Calibri" w:hAnsi="Calibri"/>
          <w:color w:val="444444"/>
          <w:sz w:val="21"/>
          <w:szCs w:val="21"/>
        </w:rPr>
        <w:t xml:space="preserve">Month 3: combined ROAS across both platforms reached 5.6× — 133% improvement vs pre-AI manual baseline of 2.4×</w:t>
      </w:r>
    </w:p>
    <w:p>
      <w:pPr>
        <w:spacing w:after="40"/>
      </w:pPr>
      <w:r>
        <w:rPr>
          <w:rFonts w:ascii="Calibri" w:cs="Calibri" w:eastAsia="Calibri" w:hAnsi="Calibri"/>
          <w:sz w:val="4"/>
          <w:szCs w:val="4"/>
        </w:rPr>
        <w:t xml:space="preserve"> </w:t>
      </w:r>
    </w:p>
    <w:p>
      <w:pPr>
        <w:pBdr>
          <w:bottom w:val="single" w:color="DC2626" w:sz="4"/>
        </w:pBdr>
        <w:spacing w:after="100" w:before="320"/>
      </w:pPr>
      <w:r>
        <w:rPr>
          <w:rFonts w:ascii="Calibri" w:cs="Calibri" w:eastAsia="Calibri" w:hAnsi="Calibri"/>
          <w:b/>
          <w:bCs/>
          <w:color w:val="0A2540"/>
          <w:sz w:val="26"/>
          <w:szCs w:val="26"/>
        </w:rPr>
        <w:t xml:space="preserve">ROAS Progression (Manual vs 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tcBorders>
              <w:top w:val="single" w:color="05192A" w:sz="6"/>
              <w:left w:val="single" w:color="05192A" w:sz="6"/>
              <w:bottom w:val="single" w:color="05192A" w:sz="6"/>
              <w:right w:val="single" w:color="05192A" w:sz="6"/>
            </w:tcBorders>
            <w:shd w:fill="0A2540" w:color="auto" w:val="clear"/>
            <w:tcMar>
              <w:top w:type="dxa" w:w="144"/>
              <w:left w:type="dxa" w:w="172"/>
              <w:bottom w:type="dxa" w:w="144"/>
              <w:right w:type="dxa" w:w="172"/>
            </w:tcMar>
          </w:tcPr>
          <w:p>
            <w:r>
              <w:rPr>
                <w:rFonts w:ascii="Calibri" w:cs="Calibri" w:eastAsia="Calibri" w:hAnsi="Calibri"/>
                <w:b/>
                <w:bCs/>
                <w:color w:val="FFFFFF"/>
                <w:sz w:val="21"/>
                <w:szCs w:val="21"/>
              </w:rPr>
              <w:t xml:space="preserve">Period</w:t>
            </w:r>
          </w:p>
        </w:tc>
        <w:tc>
          <w:tcPr>
            <w:tcBorders>
              <w:top w:val="single" w:color="05192A" w:sz="6"/>
              <w:left w:val="single" w:color="05192A" w:sz="6"/>
              <w:bottom w:val="single" w:color="05192A" w:sz="6"/>
              <w:right w:val="single" w:color="05192A" w:sz="6"/>
            </w:tcBorders>
            <w:shd w:fill="0A2540" w:color="auto" w:val="clear"/>
            <w:tcMar>
              <w:top w:type="dxa" w:w="144"/>
              <w:left w:type="dxa" w:w="172"/>
              <w:bottom w:type="dxa" w:w="144"/>
              <w:right w:type="dxa" w:w="172"/>
            </w:tcMar>
          </w:tcPr>
          <w:p>
            <w:pPr>
              <w:jc w:val="right"/>
            </w:pPr>
            <w:r>
              <w:rPr>
                <w:rFonts w:ascii="Calibri" w:cs="Calibri" w:eastAsia="Calibri" w:hAnsi="Calibri"/>
                <w:b/>
                <w:bCs/>
                <w:color w:val="FFFFFF"/>
                <w:sz w:val="21"/>
                <w:szCs w:val="21"/>
              </w:rPr>
              <w:t xml:space="preserve">Result</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1"/>
                <w:szCs w:val="21"/>
              </w:rPr>
              <w:t xml:space="preserve">Manual Baseline</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pPr>
              <w:jc w:val="right"/>
            </w:pPr>
            <w:r>
              <w:rPr>
                <w:rFonts w:ascii="Calibri" w:cs="Calibri" w:eastAsia="Calibri" w:hAnsi="Calibri"/>
                <w:b/>
                <w:bCs/>
                <w:color w:val="DC2626"/>
                <w:sz w:val="21"/>
                <w:szCs w:val="21"/>
              </w:rPr>
              <w:t xml:space="preserve">2.4×</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1"/>
                <w:szCs w:val="21"/>
              </w:rPr>
              <w:t xml:space="preserve">AI Month 1 (Learning)</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pPr>
              <w:jc w:val="right"/>
            </w:pPr>
            <w:r>
              <w:rPr>
                <w:rFonts w:ascii="Calibri" w:cs="Calibri" w:eastAsia="Calibri" w:hAnsi="Calibri"/>
                <w:b/>
                <w:bCs/>
                <w:color w:val="DC2626"/>
                <w:sz w:val="21"/>
                <w:szCs w:val="21"/>
              </w:rPr>
              <w:t xml:space="preserve">2.9×</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1"/>
                <w:szCs w:val="21"/>
              </w:rPr>
              <w:t xml:space="preserve">AI Month 2</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pPr>
              <w:jc w:val="right"/>
            </w:pPr>
            <w:r>
              <w:rPr>
                <w:rFonts w:ascii="Calibri" w:cs="Calibri" w:eastAsia="Calibri" w:hAnsi="Calibri"/>
                <w:b/>
                <w:bCs/>
                <w:color w:val="DC2626"/>
                <w:sz w:val="21"/>
                <w:szCs w:val="21"/>
              </w:rPr>
              <w:t xml:space="preserve">4.8×</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1"/>
                <w:szCs w:val="21"/>
              </w:rPr>
              <w:t xml:space="preserve">AI Month 3</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pPr>
              <w:jc w:val="right"/>
            </w:pPr>
            <w:r>
              <w:rPr>
                <w:rFonts w:ascii="Calibri" w:cs="Calibri" w:eastAsia="Calibri" w:hAnsi="Calibri"/>
                <w:b/>
                <w:bCs/>
                <w:color w:val="DC2626"/>
                <w:sz w:val="21"/>
                <w:szCs w:val="21"/>
              </w:rPr>
              <w:t xml:space="preserve">5.6×</w:t>
            </w:r>
          </w:p>
        </w:tc>
      </w:tr>
    </w:tbl>
    <w:p>
      <w:pPr>
        <w:spacing w:after="8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p>
      <w:pPr>
        <w:pBdr>
          <w:bottom w:val="single" w:color="DC2626" w:sz="4"/>
        </w:pBdr>
        <w:spacing w:after="100" w:before="320"/>
      </w:pPr>
      <w:r>
        <w:rPr>
          <w:rFonts w:ascii="Calibri" w:cs="Calibri" w:eastAsia="Calibri" w:hAnsi="Calibri"/>
          <w:b/>
          <w:bCs/>
          <w:color w:val="0A2540"/>
          <w:sz w:val="26"/>
          <w:szCs w:val="26"/>
        </w:rPr>
        <w:t xml:space="preserve">Before vs After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E0C0C0" w:sz="4"/>
              <w:left w:val="single" w:color="E0C0C0" w:sz="4"/>
              <w:bottom w:val="single" w:color="E0C0C0" w:sz="4"/>
              <w:right w:val="single" w:color="E0C0C0" w:sz="4"/>
            </w:tcBorders>
            <w:shd w:fill="FFF5F5" w:color="auto" w:val="clear"/>
            <w:tcMar>
              <w:top w:type="dxa" w:w="144"/>
              <w:left w:type="dxa" w:w="172"/>
              <w:bottom w:type="dxa" w:w="144"/>
              <w:right w:type="dxa" w:w="172"/>
            </w:tcMar>
          </w:tcPr>
          <w:p>
            <w:pPr>
              <w:spacing w:after="100"/>
            </w:pPr>
            <w:r>
              <w:rPr>
                <w:rFonts w:ascii="Calibri" w:cs="Calibri" w:eastAsia="Calibri" w:hAnsi="Calibri"/>
                <w:b/>
                <w:bCs/>
                <w:color w:val="DC2626"/>
                <w:sz w:val="22"/>
                <w:szCs w:val="22"/>
              </w:rPr>
              <w:t xml:space="preserve">Before</w:t>
            </w:r>
          </w:p>
          <w:p>
            <w:pPr>
              <w:spacing w:after="60"/>
            </w:pPr>
            <w:r>
              <w:rPr>
                <w:rFonts w:ascii="Calibri" w:cs="Calibri" w:eastAsia="Calibri" w:hAnsi="Calibri"/>
                <w:color w:val="333333"/>
                <w:sz w:val="21"/>
                <w:szCs w:val="21"/>
              </w:rPr>
              <w:t xml:space="preserve">Ad Management: Manual (3–4 adjustments/week)</w:t>
            </w:r>
          </w:p>
          <w:p>
            <w:pPr>
              <w:spacing w:after="60"/>
            </w:pPr>
            <w:r>
              <w:rPr>
                <w:rFonts w:ascii="Calibri" w:cs="Calibri" w:eastAsia="Calibri" w:hAnsi="Calibri"/>
                <w:color w:val="333333"/>
                <w:sz w:val="21"/>
                <w:szCs w:val="21"/>
              </w:rPr>
              <w:t xml:space="preserve">ROAS: 2.4×</w:t>
            </w:r>
          </w:p>
          <w:p>
            <w:pPr>
              <w:spacing w:after="60"/>
            </w:pPr>
            <w:r>
              <w:rPr>
                <w:rFonts w:ascii="Calibri" w:cs="Calibri" w:eastAsia="Calibri" w:hAnsi="Calibri"/>
                <w:color w:val="333333"/>
                <w:sz w:val="21"/>
                <w:szCs w:val="21"/>
              </w:rPr>
              <w:t xml:space="preserve">Cost Per Acquisition: RM 188</w:t>
            </w:r>
          </w:p>
          <w:p>
            <w:pPr>
              <w:spacing w:after="60"/>
            </w:pPr>
            <w:r>
              <w:rPr>
                <w:rFonts w:ascii="Calibri" w:cs="Calibri" w:eastAsia="Calibri" w:hAnsi="Calibri"/>
                <w:color w:val="333333"/>
                <w:sz w:val="21"/>
                <w:szCs w:val="21"/>
              </w:rPr>
              <w:t xml:space="preserve">Learning Phase: Never completed</w:t>
            </w:r>
          </w:p>
          <w:p>
            <w:pPr>
              <w:spacing w:after="60"/>
            </w:pPr>
            <w:r>
              <w:rPr>
                <w:rFonts w:ascii="Calibri" w:cs="Calibri" w:eastAsia="Calibri" w:hAnsi="Calibri"/>
                <w:color w:val="333333"/>
                <w:sz w:val="21"/>
                <w:szCs w:val="21"/>
              </w:rPr>
              <w:t xml:space="preserve">Creative Assets: 2 (6+ months old)</w:t>
            </w:r>
          </w:p>
          <w:p>
            <w:pPr>
              <w:spacing w:after="60"/>
            </w:pPr>
            <w:r>
              <w:rPr>
                <w:rFonts w:ascii="Calibri" w:cs="Calibri" w:eastAsia="Calibri" w:hAnsi="Calibri"/>
                <w:color w:val="333333"/>
                <w:sz w:val="21"/>
                <w:szCs w:val="21"/>
              </w:rPr>
              <w:t xml:space="preserve">Platform Coverage: Google only</w:t>
            </w:r>
          </w:p>
        </w:tc>
        <w:tc>
          <w:tcPr>
            <w:tcW w:type="pct" w:w="50%"/>
            <w:tcBorders>
              <w:top w:val="single" w:color="A8D8B8" w:sz="4"/>
              <w:left w:val="single" w:color="A8D8B8" w:sz="4"/>
              <w:bottom w:val="single" w:color="A8D8B8" w:sz="4"/>
              <w:right w:val="single" w:color="A8D8B8" w:sz="4"/>
            </w:tcBorders>
            <w:shd w:fill="F0FFF4" w:color="auto" w:val="clear"/>
            <w:tcMar>
              <w:top w:type="dxa" w:w="144"/>
              <w:left w:type="dxa" w:w="172"/>
              <w:bottom w:type="dxa" w:w="144"/>
              <w:right w:type="dxa" w:w="172"/>
            </w:tcMar>
          </w:tcPr>
          <w:p>
            <w:pPr>
              <w:spacing w:after="100"/>
            </w:pPr>
            <w:r>
              <w:rPr>
                <w:rFonts w:ascii="Calibri" w:cs="Calibri" w:eastAsia="Calibri" w:hAnsi="Calibri"/>
                <w:b/>
                <w:bCs/>
                <w:color w:val="16A34A"/>
                <w:sz w:val="22"/>
                <w:szCs w:val="22"/>
              </w:rPr>
              <w:t xml:space="preserve">After</w:t>
            </w:r>
          </w:p>
          <w:p>
            <w:pPr>
              <w:spacing w:after="60"/>
            </w:pPr>
            <w:r>
              <w:rPr>
                <w:rFonts w:ascii="Calibri" w:cs="Calibri" w:eastAsia="Calibri" w:hAnsi="Calibri"/>
                <w:color w:val="333333"/>
                <w:sz w:val="21"/>
                <w:szCs w:val="21"/>
              </w:rPr>
              <w:t xml:space="preserve">Ad Management: AI-managed (Performance Max + Advantage+)</w:t>
            </w:r>
          </w:p>
          <w:p>
            <w:pPr>
              <w:spacing w:after="60"/>
            </w:pPr>
            <w:r>
              <w:rPr>
                <w:rFonts w:ascii="Calibri" w:cs="Calibri" w:eastAsia="Calibri" w:hAnsi="Calibri"/>
                <w:color w:val="333333"/>
                <w:sz w:val="21"/>
                <w:szCs w:val="21"/>
              </w:rPr>
              <w:t xml:space="preserve">ROAS: 5.6×</w:t>
            </w:r>
          </w:p>
          <w:p>
            <w:pPr>
              <w:spacing w:after="60"/>
            </w:pPr>
            <w:r>
              <w:rPr>
                <w:rFonts w:ascii="Calibri" w:cs="Calibri" w:eastAsia="Calibri" w:hAnsi="Calibri"/>
                <w:color w:val="333333"/>
                <w:sz w:val="21"/>
                <w:szCs w:val="21"/>
              </w:rPr>
              <w:t xml:space="preserve">Cost Per Acquisition: RM 99</w:t>
            </w:r>
          </w:p>
          <w:p>
            <w:pPr>
              <w:spacing w:after="60"/>
            </w:pPr>
            <w:r>
              <w:rPr>
                <w:rFonts w:ascii="Calibri" w:cs="Calibri" w:eastAsia="Calibri" w:hAnsi="Calibri"/>
                <w:color w:val="333333"/>
                <w:sz w:val="21"/>
                <w:szCs w:val="21"/>
              </w:rPr>
              <w:t xml:space="preserve">Learning Phase: Completed day 11</w:t>
            </w:r>
          </w:p>
          <w:p>
            <w:pPr>
              <w:spacing w:after="60"/>
            </w:pPr>
            <w:r>
              <w:rPr>
                <w:rFonts w:ascii="Calibri" w:cs="Calibri" w:eastAsia="Calibri" w:hAnsi="Calibri"/>
                <w:color w:val="333333"/>
                <w:sz w:val="21"/>
                <w:szCs w:val="21"/>
              </w:rPr>
              <w:t xml:space="preserve">Creative Assets: 15+ (refreshed monthly)</w:t>
            </w:r>
          </w:p>
          <w:p>
            <w:pPr>
              <w:spacing w:after="60"/>
            </w:pPr>
            <w:r>
              <w:rPr>
                <w:rFonts w:ascii="Calibri" w:cs="Calibri" w:eastAsia="Calibri" w:hAnsi="Calibri"/>
                <w:color w:val="333333"/>
                <w:sz w:val="21"/>
                <w:szCs w:val="21"/>
              </w:rPr>
              <w:t xml:space="preserve">Platform Coverage: Google + Meta AI</w:t>
            </w:r>
          </w:p>
        </w:tc>
      </w:tr>
    </w:tbl>
    <w:p>
      <w:pPr>
        <w:spacing w:after="8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p>
      <w:pPr>
        <w:pBdr>
          <w:bottom w:val="single" w:color="DC2626" w:sz="4"/>
        </w:pBdr>
        <w:spacing w:after="100" w:before="320"/>
      </w:pPr>
      <w:r>
        <w:rPr>
          <w:rFonts w:ascii="Calibri" w:cs="Calibri" w:eastAsia="Calibri" w:hAnsi="Calibri"/>
          <w:b/>
          <w:bCs/>
          <w:color w:val="0A2540"/>
          <w:sz w:val="26"/>
          <w:szCs w:val="26"/>
        </w:rPr>
        <w:t xml:space="preserve">Deliverables Completed</w:t>
      </w:r>
    </w:p>
    <w:p>
      <w:pPr>
        <w:pStyle w:val="ListParagraph"/>
        <w:numPr>
          <w:ilvl w:val="0"/>
          <w:numId w:val="1"/>
        </w:numPr>
        <w:spacing w:after="80"/>
      </w:pPr>
      <w:r>
        <w:rPr>
          <w:rFonts w:ascii="Calibri" w:cs="Calibri" w:eastAsia="Calibri" w:hAnsi="Calibri"/>
          <w:color w:val="7F1D1D"/>
          <w:sz w:val="22"/>
          <w:szCs w:val="22"/>
        </w:rPr>
        <w:t xml:space="preserve">15-asset Performance Max asset group setup</w:t>
      </w:r>
    </w:p>
    <w:p>
      <w:pPr>
        <w:pStyle w:val="ListParagraph"/>
        <w:numPr>
          <w:ilvl w:val="0"/>
          <w:numId w:val="1"/>
        </w:numPr>
        <w:spacing w:after="80"/>
      </w:pPr>
      <w:r>
        <w:rPr>
          <w:rFonts w:ascii="Calibri" w:cs="Calibri" w:eastAsia="Calibri" w:hAnsi="Calibri"/>
          <w:color w:val="7F1D1D"/>
          <w:sz w:val="22"/>
          <w:szCs w:val="22"/>
        </w:rPr>
        <w:t xml:space="preserve">Meta Advantage+ Shopping Campaign configuration</w:t>
      </w:r>
    </w:p>
    <w:p>
      <w:pPr>
        <w:pStyle w:val="ListParagraph"/>
        <w:numPr>
          <w:ilvl w:val="0"/>
          <w:numId w:val="1"/>
        </w:numPr>
        <w:spacing w:after="80"/>
      </w:pPr>
      <w:r>
        <w:rPr>
          <w:rFonts w:ascii="Calibri" w:cs="Calibri" w:eastAsia="Calibri" w:hAnsi="Calibri"/>
          <w:color w:val="7F1D1D"/>
          <w:sz w:val="22"/>
          <w:szCs w:val="22"/>
        </w:rPr>
        <w:t xml:space="preserve">5 fresh creative assets per platform (produced in Canva)</w:t>
      </w:r>
    </w:p>
    <w:p>
      <w:pPr>
        <w:pStyle w:val="ListParagraph"/>
        <w:numPr>
          <w:ilvl w:val="0"/>
          <w:numId w:val="1"/>
        </w:numPr>
        <w:spacing w:after="80"/>
      </w:pPr>
      <w:r>
        <w:rPr>
          <w:rFonts w:ascii="Calibri" w:cs="Calibri" w:eastAsia="Calibri" w:hAnsi="Calibri"/>
          <w:color w:val="7F1D1D"/>
          <w:sz w:val="22"/>
          <w:szCs w:val="22"/>
        </w:rPr>
        <w:t xml:space="preserve">ROAS target calibration for successful learning phase</w:t>
      </w:r>
    </w:p>
    <w:p>
      <w:pPr>
        <w:pStyle w:val="ListParagraph"/>
        <w:numPr>
          <w:ilvl w:val="0"/>
          <w:numId w:val="1"/>
        </w:numPr>
        <w:spacing w:after="80"/>
      </w:pPr>
      <w:r>
        <w:rPr>
          <w:rFonts w:ascii="Calibri" w:cs="Calibri" w:eastAsia="Calibri" w:hAnsi="Calibri"/>
          <w:color w:val="7F1D1D"/>
          <w:sz w:val="22"/>
          <w:szCs w:val="22"/>
        </w:rPr>
        <w:t xml:space="preserve">14-day learning phase management protocol</w:t>
      </w:r>
    </w:p>
    <w:p>
      <w:pPr>
        <w:pStyle w:val="ListParagraph"/>
        <w:numPr>
          <w:ilvl w:val="0"/>
          <w:numId w:val="1"/>
        </w:numPr>
        <w:spacing w:after="80"/>
      </w:pPr>
      <w:r>
        <w:rPr>
          <w:rFonts w:ascii="Calibri" w:cs="Calibri" w:eastAsia="Calibri" w:hAnsi="Calibri"/>
          <w:color w:val="7F1D1D"/>
          <w:sz w:val="22"/>
          <w:szCs w:val="22"/>
        </w:rPr>
        <w:t xml:space="preserve">Branded search campaign to protect brand queries</w:t>
      </w:r>
    </w:p>
    <w:p>
      <w:pPr>
        <w:pStyle w:val="ListParagraph"/>
        <w:numPr>
          <w:ilvl w:val="0"/>
          <w:numId w:val="1"/>
        </w:numPr>
        <w:spacing w:after="80"/>
      </w:pPr>
      <w:r>
        <w:rPr>
          <w:rFonts w:ascii="Calibri" w:cs="Calibri" w:eastAsia="Calibri" w:hAnsi="Calibri"/>
          <w:color w:val="7F1D1D"/>
          <w:sz w:val="22"/>
          <w:szCs w:val="22"/>
        </w:rPr>
        <w:t xml:space="preserve">20% incremental budget scaling framework</w:t>
      </w:r>
    </w:p>
    <w:p>
      <w:pPr>
        <w:pStyle w:val="ListParagraph"/>
        <w:numPr>
          <w:ilvl w:val="0"/>
          <w:numId w:val="1"/>
        </w:numPr>
        <w:spacing w:after="80"/>
      </w:pPr>
      <w:r>
        <w:rPr>
          <w:rFonts w:ascii="Calibri" w:cs="Calibri" w:eastAsia="Calibri" w:hAnsi="Calibri"/>
          <w:color w:val="7F1D1D"/>
          <w:sz w:val="22"/>
          <w:szCs w:val="22"/>
        </w:rPr>
        <w:t xml:space="preserve">Monthly creative asset refresh and performance swap</w:t>
      </w:r>
    </w:p>
    <w:p>
      <w:pPr>
        <w:pStyle w:val="ListParagraph"/>
        <w:numPr>
          <w:ilvl w:val="0"/>
          <w:numId w:val="1"/>
        </w:numPr>
        <w:spacing w:after="80"/>
      </w:pPr>
      <w:r>
        <w:rPr>
          <w:rFonts w:ascii="Calibri" w:cs="Calibri" w:eastAsia="Calibri" w:hAnsi="Calibri"/>
          <w:color w:val="7F1D1D"/>
          <w:sz w:val="22"/>
          <w:szCs w:val="22"/>
        </w:rPr>
        <w:t xml:space="preserve">14-day performance review cycle with scaling decisions</w:t>
      </w:r>
    </w:p>
    <w:p>
      <w:pPr>
        <w:pStyle w:val="ListParagraph"/>
        <w:numPr>
          <w:ilvl w:val="0"/>
          <w:numId w:val="1"/>
        </w:numPr>
        <w:spacing w:after="80"/>
      </w:pPr>
      <w:r>
        <w:rPr>
          <w:rFonts w:ascii="Calibri" w:cs="Calibri" w:eastAsia="Calibri" w:hAnsi="Calibri"/>
          <w:color w:val="7F1D1D"/>
          <w:sz w:val="22"/>
          <w:szCs w:val="22"/>
        </w:rPr>
        <w:t xml:space="preserve">Combined platform ROAS and CPA dashboard</w:t>
      </w:r>
    </w:p>
    <w:p>
      <w:pPr>
        <w:spacing w:after="40"/>
      </w:pPr>
      <w:r>
        <w:rPr>
          <w:rFonts w:ascii="Calibri" w:cs="Calibri" w:eastAsia="Calibri" w:hAnsi="Calibri"/>
          <w:sz w:val="4"/>
          <w:szCs w:val="4"/>
        </w:rPr>
        <w:t xml:space="preserve"> </w:t>
      </w:r>
    </w:p>
    <w:p>
      <w:pPr>
        <w:pBdr>
          <w:bottom w:val="single" w:color="DC2626" w:sz="4"/>
        </w:pBdr>
        <w:spacing w:after="100" w:before="320"/>
      </w:pPr>
      <w:r>
        <w:rPr>
          <w:rFonts w:ascii="Calibri" w:cs="Calibri" w:eastAsia="Calibri" w:hAnsi="Calibri"/>
          <w:b/>
          <w:bCs/>
          <w:color w:val="0A2540"/>
          <w:sz w:val="26"/>
          <w:szCs w:val="26"/>
        </w:rPr>
        <w:t xml:space="preserve">Client Testimonial</w:t>
      </w:r>
    </w:p>
    <w:p>
      <w:pPr>
        <w:pBdr>
          <w:left w:val="thick" w:color="DC2626" w:sz="16"/>
        </w:pBdr>
        <w:shd w:fill="FEF2F2" w:color="auto" w:val="clear"/>
        <w:spacing w:after="80" w:before="140"/>
        <w:ind w:left="431"/>
      </w:pPr>
      <w:r>
        <w:rPr>
          <w:rFonts w:ascii="Calibri" w:cs="Calibri" w:eastAsia="Calibri" w:hAnsi="Calibri"/>
          <w:i/>
          <w:iCs/>
          <w:color w:val="1E293B"/>
          <w:sz w:val="22"/>
          <w:szCs w:val="22"/>
        </w:rPr>
        <w:t xml:space="preserve">"We made the mistake of stopping Smart Bidding too early once before. TechNext managed the learning phase for us, made sure we didn't touch anything for two weeks, and the results on the other side were beyond what we expected. 5.6× ROAS on both platforms combined."</w:t>
      </w:r>
    </w:p>
    <w:p>
      <w:pPr>
        <w:spacing w:after="160"/>
        <w:ind w:left="431"/>
      </w:pPr>
      <w:r>
        <w:rPr>
          <w:rFonts w:ascii="Calibri" w:cs="Calibri" w:eastAsia="Calibri" w:hAnsi="Calibri"/>
          <w:b/>
          <w:bCs/>
          <w:color w:val="0A2540"/>
          <w:sz w:val="21"/>
          <w:szCs w:val="21"/>
        </w:rPr>
        <w:t xml:space="preserve">Aaron Lim</w:t>
      </w:r>
      <w:r>
        <w:rPr>
          <w:rFonts w:ascii="Calibri" w:cs="Calibri" w:eastAsia="Calibri" w:hAnsi="Calibri"/>
          <w:color w:val="555555"/>
          <w:sz w:val="20"/>
          <w:szCs w:val="20"/>
        </w:rPr>
        <w:t xml:space="preserve">  ·  Marketing Director, TerraGear Sdn Bhd</w:t>
      </w:r>
    </w:p>
    <w:p>
      <w:pPr>
        <w:spacing w:after="40"/>
      </w:pPr>
      <w:r>
        <w:rPr>
          <w:rFonts w:ascii="Calibri" w:cs="Calibri" w:eastAsia="Calibri" w:hAnsi="Calibri"/>
          <w:sz w:val="4"/>
          <w:szCs w:val="4"/>
        </w:rPr>
        <w:t xml:space="preserve"> </w:t>
      </w:r>
    </w:p>
    <w:p>
      <w:pPr>
        <w:spacing w:after="160"/>
      </w:pPr>
      <w:r>
        <w:rPr>
          <w:rFonts w:ascii="Calibri" w:cs="Calibri" w:eastAsia="Calibri" w:hAnsi="Calibri"/>
          <w:sz w:val="4"/>
          <w:szCs w:val="4"/>
        </w:rPr>
        <w:t xml:space="preserve"> </w:t>
      </w:r>
    </w:p>
    <w:p>
      <w:pPr>
        <w:pBdr>
          <w:top w:val="single" w:color="DDDDDD" w:sz="4"/>
        </w:pBdr>
        <w:spacing w:before="80"/>
        <w:jc w:val="center"/>
      </w:pPr>
      <w:r>
        <w:rPr>
          <w:rFonts w:ascii="Calibri" w:cs="Calibri" w:eastAsia="Calibri" w:hAnsi="Calibri"/>
          <w:color w:val="AAAAAA"/>
          <w:sz w:val="18"/>
          <w:szCs w:val="18"/>
        </w:rPr>
        <w:t xml:space="preserve">NextMarketing — Professional Marketing Services by TechNext Asia  |  hello@technext.asia</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2026-05-01T06:54:33.289Z</dcterms:created>
  <dcterms:modified xsi:type="dcterms:W3CDTF">2026-05-01T06:54:33.289Z</dcterms:modified>
</cp:coreProperties>
</file>

<file path=docProps/custom.xml><?xml version="1.0" encoding="utf-8"?>
<Properties xmlns="http://schemas.openxmlformats.org/officeDocument/2006/custom-properties" xmlns:vt="http://schemas.openxmlformats.org/officeDocument/2006/docPropsVTypes"/>
</file>