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HARD TIER — CASE STUDY</w:t>
      </w:r>
    </w:p>
    <w:p>
      <w:pPr>
        <w:spacing w:after="80"/>
      </w:pPr>
      <w:r>
        <w:rPr>
          <w:rFonts w:ascii="Calibri" w:cs="Calibri" w:eastAsia="Calibri" w:hAnsi="Calibri"/>
          <w:b/>
          <w:bCs/>
          <w:color w:val="0A2540"/>
          <w:sz w:val="46"/>
          <w:szCs w:val="46"/>
        </w:rPr>
        <w:t xml:space="preserve">Senior Sales Rep (80 hrs/mo)</w:t>
      </w:r>
    </w:p>
    <w:p>
      <w:pPr>
        <w:spacing w:after="80"/>
      </w:pPr>
      <w:r>
        <w:rPr>
          <w:rFonts w:ascii="Calibri" w:cs="Calibri" w:eastAsia="Calibri" w:hAnsi="Calibri"/>
          <w:i/>
          <w:iCs/>
          <w:color w:val="555555"/>
          <w:sz w:val="22"/>
          <w:szCs w:val="22"/>
        </w:rPr>
        <w:t xml:space="preserve">How a construction ERP company went from 2 demos per month to 7 and closed RM142,000 in new ARR in 90 days</w:t>
      </w:r>
    </w:p>
    <w:p>
      <w:pPr>
        <w:spacing w:after="80"/>
      </w:pPr>
      <w:r>
        <w:rPr>
          <w:rFonts w:ascii="Calibri" w:cs="Calibri" w:eastAsia="Calibri" w:hAnsi="Calibri"/>
          <w:color w:val="64748B"/>
          <w:sz w:val="20"/>
          <w:szCs w:val="20"/>
        </w:rPr>
        <w:t xml:space="preserve">🏢 NexaBuild Solutions Sdn Bhd   |   🏗 Construction ERP &amp; Project Management   |   📍 Mont Kiara, Kuala Lumpur   |   📅 Jan – Mar 2026</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7</w:t>
            </w:r>
          </w:p>
          <w:p>
            <w:pPr>
              <w:jc w:val="center"/>
            </w:pPr>
            <w:r>
              <w:rPr>
                <w:rFonts w:ascii="Calibri" w:cs="Calibri" w:eastAsia="Calibri" w:hAnsi="Calibri"/>
                <w:color w:val="555555"/>
                <w:sz w:val="20"/>
                <w:szCs w:val="20"/>
              </w:rPr>
              <w:t xml:space="preserve">Demos Facilitated per Month</w:t>
            </w:r>
          </w:p>
        </w:tc>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4</w:t>
            </w:r>
          </w:p>
          <w:p>
            <w:pPr>
              <w:jc w:val="center"/>
            </w:pPr>
            <w:r>
              <w:rPr>
                <w:rFonts w:ascii="Calibri" w:cs="Calibri" w:eastAsia="Calibri" w:hAnsi="Calibri"/>
                <w:color w:val="555555"/>
                <w:sz w:val="20"/>
                <w:szCs w:val="20"/>
              </w:rPr>
              <w:t xml:space="preserve">Proposals Sent per Month</w:t>
            </w:r>
          </w:p>
        </w:tc>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RM142k</w:t>
            </w:r>
          </w:p>
          <w:p>
            <w:pPr>
              <w:jc w:val="center"/>
            </w:pPr>
            <w:r>
              <w:rPr>
                <w:rFonts w:ascii="Calibri" w:cs="Calibri" w:eastAsia="Calibri" w:hAnsi="Calibri"/>
                <w:color w:val="555555"/>
                <w:sz w:val="20"/>
                <w:szCs w:val="20"/>
              </w:rPr>
              <w:t xml:space="preserve">New ARR Closed in 90 Days</w:t>
            </w:r>
          </w:p>
        </w:tc>
      </w:tr>
    </w:tbl>
    <w:p>
      <w:pPr>
        <w:spacing w:after="12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Client Overview</w:t>
      </w:r>
    </w:p>
    <w:p>
      <w:pPr>
        <w:spacing w:after="100"/>
      </w:pPr>
      <w:r>
        <w:rPr>
          <w:rFonts w:ascii="Calibri" w:cs="Calibri" w:eastAsia="Calibri" w:hAnsi="Calibri"/>
          <w:color w:val="333333"/>
          <w:sz w:val="22"/>
          <w:szCs w:val="22"/>
        </w:rPr>
        <w:t xml:space="preserve">NexaBuild Solutions is a Malaysian construction ERP company serving mid-size contractors, quantity surveyors, and property developers. Their platform manages project scheduling, subcontractor billing, and regulatory compliance documentation — a complex, high-value sale with an average deal size of RM35,000 annual contract.</w:t>
      </w:r>
    </w:p>
    <w:p>
      <w:pPr>
        <w:spacing w:after="100"/>
      </w:pPr>
      <w:r>
        <w:rPr>
          <w:rFonts w:ascii="Calibri" w:cs="Calibri" w:eastAsia="Calibri" w:hAnsi="Calibri"/>
          <w:color w:val="333333"/>
          <w:sz w:val="22"/>
          <w:szCs w:val="22"/>
        </w:rPr>
        <w:t xml:space="preserve">The founding team had been self-managing the sales function alongside product and delivery responsibilities — closing around 2 deals per quarter through referrals and conference networking. The pipeline had grown to 18 open opportunities but most were stagnating at the demo or proposal stage because the founders lacked time to run follow-up cadences consistently.</w:t>
      </w:r>
    </w:p>
    <w:p>
      <w:pPr>
        <w:spacing w:after="100"/>
      </w:pPr>
      <w:r>
        <w:rPr>
          <w:rFonts w:ascii="Calibri" w:cs="Calibri" w:eastAsia="Calibri" w:hAnsi="Calibri"/>
          <w:color w:val="333333"/>
          <w:sz w:val="22"/>
          <w:szCs w:val="22"/>
        </w:rPr>
        <w:t xml:space="preserve">TechNext Asia placed a Senior Account Executive with 4 years of enterprise software sales experience who took full ownership of the demo-to-close process: running discovery calls and product demonstrations, writing customised proposals with Claude AI, managing the negotiation stage, and maintaining weekly CRM hygiene in Google Sheets — with a recorded demo review each week.</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The Challenge</w:t>
      </w:r>
    </w:p>
    <w:p>
      <w:pPr>
        <w:pStyle w:val="ListParagraph"/>
        <w:numPr>
          <w:ilvl w:val="0"/>
          <w:numId w:val="1"/>
        </w:numPr>
        <w:spacing w:after="80"/>
      </w:pPr>
      <w:r>
        <w:rPr>
          <w:rFonts w:ascii="Calibri" w:cs="Calibri" w:eastAsia="Calibri" w:hAnsi="Calibri"/>
          <w:color w:val="333333"/>
          <w:sz w:val="22"/>
          <w:szCs w:val="22"/>
        </w:rPr>
        <w:t xml:space="preserve">Founding team self-managing sales alongside product — 2 demos per month maximum with inconsistent follow-up</w:t>
      </w:r>
    </w:p>
    <w:p>
      <w:pPr>
        <w:pStyle w:val="ListParagraph"/>
        <w:numPr>
          <w:ilvl w:val="0"/>
          <w:numId w:val="1"/>
        </w:numPr>
        <w:spacing w:after="80"/>
      </w:pPr>
      <w:r>
        <w:rPr>
          <w:rFonts w:ascii="Calibri" w:cs="Calibri" w:eastAsia="Calibri" w:hAnsi="Calibri"/>
          <w:color w:val="333333"/>
          <w:sz w:val="22"/>
          <w:szCs w:val="22"/>
        </w:rPr>
        <w:t xml:space="preserve">18 open opportunities in the pipeline — most stagnating at proposal stage with no next-action clarity</w:t>
      </w:r>
    </w:p>
    <w:p>
      <w:pPr>
        <w:pStyle w:val="ListParagraph"/>
        <w:numPr>
          <w:ilvl w:val="0"/>
          <w:numId w:val="1"/>
        </w:numPr>
        <w:spacing w:after="80"/>
      </w:pPr>
      <w:r>
        <w:rPr>
          <w:rFonts w:ascii="Calibri" w:cs="Calibri" w:eastAsia="Calibri" w:hAnsi="Calibri"/>
          <w:color w:val="333333"/>
          <w:sz w:val="22"/>
          <w:szCs w:val="22"/>
        </w:rPr>
        <w:t xml:space="preserve">Average time from demo to proposal was 11 days — competitors with faster proposal turnaround were winning deals</w:t>
      </w:r>
    </w:p>
    <w:p>
      <w:pPr>
        <w:pStyle w:val="ListParagraph"/>
        <w:numPr>
          <w:ilvl w:val="0"/>
          <w:numId w:val="1"/>
        </w:numPr>
        <w:spacing w:after="80"/>
      </w:pPr>
      <w:r>
        <w:rPr>
          <w:rFonts w:ascii="Calibri" w:cs="Calibri" w:eastAsia="Calibri" w:hAnsi="Calibri"/>
          <w:color w:val="333333"/>
          <w:sz w:val="22"/>
          <w:szCs w:val="22"/>
        </w:rPr>
        <w:t xml:space="preserve">No formal discovery call framework — demonstrations were product tours rather than need-uncovering conversations</w:t>
      </w:r>
    </w:p>
    <w:p>
      <w:pPr>
        <w:pStyle w:val="ListParagraph"/>
        <w:numPr>
          <w:ilvl w:val="0"/>
          <w:numId w:val="1"/>
        </w:numPr>
        <w:spacing w:after="80"/>
      </w:pPr>
      <w:r>
        <w:rPr>
          <w:rFonts w:ascii="Calibri" w:cs="Calibri" w:eastAsia="Calibri" w:hAnsi="Calibri"/>
          <w:color w:val="333333"/>
          <w:sz w:val="22"/>
          <w:szCs w:val="22"/>
        </w:rPr>
        <w:t xml:space="preserve">Proposal documents were created from scratch each time in PowerPoint — inconsistent quality and time-consuming</w:t>
      </w:r>
    </w:p>
    <w:p>
      <w:pPr>
        <w:pStyle w:val="ListParagraph"/>
        <w:numPr>
          <w:ilvl w:val="0"/>
          <w:numId w:val="1"/>
        </w:numPr>
        <w:spacing w:after="80"/>
      </w:pPr>
      <w:r>
        <w:rPr>
          <w:rFonts w:ascii="Calibri" w:cs="Calibri" w:eastAsia="Calibri" w:hAnsi="Calibri"/>
          <w:color w:val="333333"/>
          <w:sz w:val="22"/>
          <w:szCs w:val="22"/>
        </w:rPr>
        <w:t xml:space="preserve">No structured negotiation process — pricing concessions were made reactively rather than strategically</w:t>
      </w:r>
    </w:p>
    <w:p>
      <w:pPr>
        <w:pStyle w:val="ListParagraph"/>
        <w:numPr>
          <w:ilvl w:val="0"/>
          <w:numId w:val="1"/>
        </w:numPr>
        <w:spacing w:after="80"/>
      </w:pPr>
      <w:r>
        <w:rPr>
          <w:rFonts w:ascii="Calibri" w:cs="Calibri" w:eastAsia="Calibri" w:hAnsi="Calibri"/>
          <w:color w:val="333333"/>
          <w:sz w:val="22"/>
          <w:szCs w:val="22"/>
        </w:rPr>
        <w:t xml:space="preserve">Win rate of 29% on proposals sent — no systematic post-loss debrief to understand why deals were lost</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Our 3-Phase Approach</w:t>
      </w:r>
    </w:p>
    <w:p>
      <w:pPr>
        <w:spacing w:after="80" w:before="200"/>
      </w:pPr>
      <w:r>
        <w:rPr>
          <w:rFonts w:ascii="Calibri" w:cs="Calibri" w:eastAsia="Calibri" w:hAnsi="Calibri"/>
          <w:b/>
          <w:bCs/>
          <w:color w:val="FFFFFF"/>
          <w:sz w:val="20"/>
          <w:szCs w:val="20"/>
          <w:shd w:fill="DC2626" w:color="auto" w:val="clear"/>
        </w:rPr>
        <w:t xml:space="preserve">Month 1</w:t>
      </w:r>
      <w:r>
        <w:rPr>
          <w:rFonts w:ascii="Calibri" w:cs="Calibri" w:eastAsia="Calibri" w:hAnsi="Calibri"/>
          <w:b/>
          <w:bCs/>
          <w:color w:val="0A2540"/>
          <w:sz w:val="22"/>
          <w:szCs w:val="22"/>
        </w:rPr>
        <w:t xml:space="preserve">   Onboarding &amp; Pipeline Recovery</w:t>
      </w:r>
    </w:p>
    <w:p>
      <w:pPr>
        <w:pStyle w:val="ListParagraph"/>
        <w:numPr>
          <w:ilvl w:val="0"/>
          <w:numId w:val="1"/>
        </w:numPr>
        <w:spacing w:after="70"/>
        <w:ind w:left="288"/>
      </w:pPr>
      <w:r>
        <w:rPr>
          <w:rFonts w:ascii="Calibri" w:cs="Calibri" w:eastAsia="Calibri" w:hAnsi="Calibri"/>
          <w:color w:val="444444"/>
          <w:sz w:val="21"/>
          <w:szCs w:val="21"/>
        </w:rPr>
        <w:t xml:space="preserve">Senior AE onboarded in Week 1: full product deep-dive, deal review of 18 stagnant pipeline opportunities, client persona study</w:t>
      </w:r>
    </w:p>
    <w:p>
      <w:pPr>
        <w:pStyle w:val="ListParagraph"/>
        <w:numPr>
          <w:ilvl w:val="0"/>
          <w:numId w:val="1"/>
        </w:numPr>
        <w:spacing w:after="70"/>
        <w:ind w:left="288"/>
      </w:pPr>
      <w:r>
        <w:rPr>
          <w:rFonts w:ascii="Calibri" w:cs="Calibri" w:eastAsia="Calibri" w:hAnsi="Calibri"/>
          <w:color w:val="444444"/>
          <w:sz w:val="21"/>
          <w:szCs w:val="21"/>
        </w:rPr>
        <w:t xml:space="preserve">Reached out to all 18 stagnant deals within first 5 working days — 11 re-engaged, 7 formally closed as lost (documented reasons)</w:t>
      </w:r>
    </w:p>
    <w:p>
      <w:pPr>
        <w:pStyle w:val="ListParagraph"/>
        <w:numPr>
          <w:ilvl w:val="0"/>
          <w:numId w:val="1"/>
        </w:numPr>
        <w:spacing w:after="70"/>
        <w:ind w:left="288"/>
      </w:pPr>
      <w:r>
        <w:rPr>
          <w:rFonts w:ascii="Calibri" w:cs="Calibri" w:eastAsia="Calibri" w:hAnsi="Calibri"/>
          <w:color w:val="444444"/>
          <w:sz w:val="21"/>
          <w:szCs w:val="21"/>
        </w:rPr>
        <w:t xml:space="preserve">Created discovery call framework with Claude AI: opening, 5 needs questions, pain amplification, solution positioning, next-step close</w:t>
      </w:r>
    </w:p>
    <w:p>
      <w:pPr>
        <w:pStyle w:val="ListParagraph"/>
        <w:numPr>
          <w:ilvl w:val="0"/>
          <w:numId w:val="1"/>
        </w:numPr>
        <w:spacing w:after="70"/>
        <w:ind w:left="288"/>
      </w:pPr>
      <w:r>
        <w:rPr>
          <w:rFonts w:ascii="Calibri" w:cs="Calibri" w:eastAsia="Calibri" w:hAnsi="Calibri"/>
          <w:color w:val="444444"/>
          <w:sz w:val="21"/>
          <w:szCs w:val="21"/>
        </w:rPr>
        <w:t xml:space="preserve">Built proposal template in Google Docs: 7-slide structure with dynamic fields — company name, scope, pricing tier, ROI calculation</w:t>
      </w:r>
    </w:p>
    <w:p>
      <w:pPr>
        <w:spacing w:after="80" w:before="200"/>
      </w:pPr>
      <w:r>
        <w:rPr>
          <w:rFonts w:ascii="Calibri" w:cs="Calibri" w:eastAsia="Calibri" w:hAnsi="Calibri"/>
          <w:b/>
          <w:bCs/>
          <w:color w:val="FFFFFF"/>
          <w:sz w:val="20"/>
          <w:szCs w:val="20"/>
          <w:shd w:fill="DC2626" w:color="auto" w:val="clear"/>
        </w:rPr>
        <w:t xml:space="preserve">Month 2</w:t>
      </w:r>
      <w:r>
        <w:rPr>
          <w:rFonts w:ascii="Calibri" w:cs="Calibri" w:eastAsia="Calibri" w:hAnsi="Calibri"/>
          <w:b/>
          <w:bCs/>
          <w:color w:val="0A2540"/>
          <w:sz w:val="22"/>
          <w:szCs w:val="22"/>
        </w:rPr>
        <w:t xml:space="preserve">   Demo &amp; Proposal Velocity</w:t>
      </w:r>
    </w:p>
    <w:p>
      <w:pPr>
        <w:pStyle w:val="ListParagraph"/>
        <w:numPr>
          <w:ilvl w:val="0"/>
          <w:numId w:val="1"/>
        </w:numPr>
        <w:spacing w:after="70"/>
        <w:ind w:left="288"/>
      </w:pPr>
      <w:r>
        <w:rPr>
          <w:rFonts w:ascii="Calibri" w:cs="Calibri" w:eastAsia="Calibri" w:hAnsi="Calibri"/>
          <w:color w:val="444444"/>
          <w:sz w:val="21"/>
          <w:szCs w:val="21"/>
        </w:rPr>
        <w:t xml:space="preserve">Ran 6 demos in Month 2 — all recorded via Zoom; weekly review with TechNext coaching on objection handling improvement</w:t>
      </w:r>
    </w:p>
    <w:p>
      <w:pPr>
        <w:pStyle w:val="ListParagraph"/>
        <w:numPr>
          <w:ilvl w:val="0"/>
          <w:numId w:val="1"/>
        </w:numPr>
        <w:spacing w:after="70"/>
        <w:ind w:left="288"/>
      </w:pPr>
      <w:r>
        <w:rPr>
          <w:rFonts w:ascii="Calibri" w:cs="Calibri" w:eastAsia="Calibri" w:hAnsi="Calibri"/>
          <w:color w:val="444444"/>
          <w:sz w:val="21"/>
          <w:szCs w:val="21"/>
        </w:rPr>
        <w:t xml:space="preserve">Introduced 48-hour proposal turnaround SLA — proposals sent same week as demo increased win rate from 29% to 37%</w:t>
      </w:r>
    </w:p>
    <w:p>
      <w:pPr>
        <w:pStyle w:val="ListParagraph"/>
        <w:numPr>
          <w:ilvl w:val="0"/>
          <w:numId w:val="1"/>
        </w:numPr>
        <w:spacing w:after="70"/>
        <w:ind w:left="288"/>
      </w:pPr>
      <w:r>
        <w:rPr>
          <w:rFonts w:ascii="Calibri" w:cs="Calibri" w:eastAsia="Calibri" w:hAnsi="Calibri"/>
          <w:color w:val="444444"/>
          <w:sz w:val="21"/>
          <w:szCs w:val="21"/>
        </w:rPr>
        <w:t xml:space="preserve">Closed 2 deals in Month 2 (RM62,000 combined ARR) — both from the recovered stagnant pipeline</w:t>
      </w:r>
    </w:p>
    <w:p>
      <w:pPr>
        <w:pStyle w:val="ListParagraph"/>
        <w:numPr>
          <w:ilvl w:val="0"/>
          <w:numId w:val="1"/>
        </w:numPr>
        <w:spacing w:after="70"/>
        <w:ind w:left="288"/>
      </w:pPr>
      <w:r>
        <w:rPr>
          <w:rFonts w:ascii="Calibri" w:cs="Calibri" w:eastAsia="Calibri" w:hAnsi="Calibri"/>
          <w:color w:val="444444"/>
          <w:sz w:val="21"/>
          <w:szCs w:val="21"/>
        </w:rPr>
        <w:t xml:space="preserve">Added LinkedIn presence: 3 posts/week written by Claude AI, scheduled via Buffer — built credibility ahead of final negotiations</w:t>
      </w:r>
    </w:p>
    <w:p>
      <w:pPr>
        <w:spacing w:after="80" w:before="200"/>
      </w:pPr>
      <w:r>
        <w:rPr>
          <w:rFonts w:ascii="Calibri" w:cs="Calibri" w:eastAsia="Calibri" w:hAnsi="Calibri"/>
          <w:b/>
          <w:bCs/>
          <w:color w:val="FFFFFF"/>
          <w:sz w:val="20"/>
          <w:szCs w:val="20"/>
          <w:shd w:fill="DC2626" w:color="auto" w:val="clear"/>
        </w:rPr>
        <w:t xml:space="preserve">Month 3</w:t>
      </w:r>
      <w:r>
        <w:rPr>
          <w:rFonts w:ascii="Calibri" w:cs="Calibri" w:eastAsia="Calibri" w:hAnsi="Calibri"/>
          <w:b/>
          <w:bCs/>
          <w:color w:val="0A2540"/>
          <w:sz w:val="22"/>
          <w:szCs w:val="22"/>
        </w:rPr>
        <w:t xml:space="preserve">   Scaling &amp; Closing</w:t>
      </w:r>
    </w:p>
    <w:p>
      <w:pPr>
        <w:pStyle w:val="ListParagraph"/>
        <w:numPr>
          <w:ilvl w:val="0"/>
          <w:numId w:val="1"/>
        </w:numPr>
        <w:spacing w:after="70"/>
        <w:ind w:left="288"/>
      </w:pPr>
      <w:r>
        <w:rPr>
          <w:rFonts w:ascii="Calibri" w:cs="Calibri" w:eastAsia="Calibri" w:hAnsi="Calibri"/>
          <w:color w:val="444444"/>
          <w:sz w:val="21"/>
          <w:szCs w:val="21"/>
        </w:rPr>
        <w:t xml:space="preserve">7 demos in Month 3 — 4 proposals sent within 48 hours of demo completion</w:t>
      </w:r>
    </w:p>
    <w:p>
      <w:pPr>
        <w:pStyle w:val="ListParagraph"/>
        <w:numPr>
          <w:ilvl w:val="0"/>
          <w:numId w:val="1"/>
        </w:numPr>
        <w:spacing w:after="70"/>
        <w:ind w:left="288"/>
      </w:pPr>
      <w:r>
        <w:rPr>
          <w:rFonts w:ascii="Calibri" w:cs="Calibri" w:eastAsia="Calibri" w:hAnsi="Calibri"/>
          <w:color w:val="444444"/>
          <w:sz w:val="21"/>
          <w:szCs w:val="21"/>
        </w:rPr>
        <w:t xml:space="preserve">2 deals closed in Month 3 (RM80,000 combined ARR): one enterprise contractor (RM52,000), one QS firm (RM28,000)</w:t>
      </w:r>
    </w:p>
    <w:p>
      <w:pPr>
        <w:pStyle w:val="ListParagraph"/>
        <w:numPr>
          <w:ilvl w:val="0"/>
          <w:numId w:val="1"/>
        </w:numPr>
        <w:spacing w:after="70"/>
        <w:ind w:left="288"/>
      </w:pPr>
      <w:r>
        <w:rPr>
          <w:rFonts w:ascii="Calibri" w:cs="Calibri" w:eastAsia="Calibri" w:hAnsi="Calibri"/>
          <w:color w:val="444444"/>
          <w:sz w:val="21"/>
          <w:szCs w:val="21"/>
        </w:rPr>
        <w:t xml:space="preserve">Pipeline health: 14 active opportunities, 6 in Proposal stage, 3 in Negotiation — total pipeline value RM284,000</w:t>
      </w:r>
    </w:p>
    <w:p>
      <w:pPr>
        <w:pStyle w:val="ListParagraph"/>
        <w:numPr>
          <w:ilvl w:val="0"/>
          <w:numId w:val="1"/>
        </w:numPr>
        <w:spacing w:after="70"/>
        <w:ind w:left="288"/>
      </w:pPr>
      <w:r>
        <w:rPr>
          <w:rFonts w:ascii="Calibri" w:cs="Calibri" w:eastAsia="Calibri" w:hAnsi="Calibri"/>
          <w:color w:val="444444"/>
          <w:sz w:val="21"/>
          <w:szCs w:val="21"/>
        </w:rPr>
        <w:t xml:space="preserve">Weekly pipeline CRM review with founder — forecasted closes accurate within 15% of actual outcomes</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Monthly Deal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r>
              <w:rPr>
                <w:rFonts w:ascii="Calibri" w:cs="Calibri" w:eastAsia="Calibri" w:hAnsi="Calibri"/>
                <w:b/>
                <w:bCs/>
                <w:color w:val="FFFFFF"/>
                <w:sz w:val="21"/>
                <w:szCs w:val="21"/>
              </w:rPr>
              <w:t xml:space="preserve">Period</w:t>
            </w:r>
          </w:p>
        </w:tc>
        <w:tc>
          <w:tcPr>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pPr>
              <w:jc w:val="right"/>
            </w:pPr>
            <w:r>
              <w:rPr>
                <w:rFonts w:ascii="Calibri" w:cs="Calibri" w:eastAsia="Calibri" w:hAnsi="Calibri"/>
                <w:b/>
                <w:bCs/>
                <w:color w:val="FFFFFF"/>
                <w:sz w:val="21"/>
                <w:szCs w:val="21"/>
              </w:rPr>
              <w:t xml:space="preserve">Result</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1</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C2626"/>
                <w:sz w:val="21"/>
                <w:szCs w:val="21"/>
              </w:rPr>
              <w:t xml:space="preserve">2 demos</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2</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C2626"/>
                <w:sz w:val="21"/>
                <w:szCs w:val="21"/>
              </w:rPr>
              <w:t xml:space="preserve">6 demos</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3</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C2626"/>
                <w:sz w:val="21"/>
                <w:szCs w:val="21"/>
              </w:rPr>
              <w:t xml:space="preserve">7 demos</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Before vs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Monthly Demos: 2</w:t>
            </w:r>
          </w:p>
          <w:p>
            <w:pPr>
              <w:spacing w:after="60"/>
            </w:pPr>
            <w:r>
              <w:rPr>
                <w:rFonts w:ascii="Calibri" w:cs="Calibri" w:eastAsia="Calibri" w:hAnsi="Calibri"/>
                <w:color w:val="333333"/>
                <w:sz w:val="21"/>
                <w:szCs w:val="21"/>
              </w:rPr>
              <w:t xml:space="preserve">Monthly Proposals: 1</w:t>
            </w:r>
          </w:p>
          <w:p>
            <w:pPr>
              <w:spacing w:after="60"/>
            </w:pPr>
            <w:r>
              <w:rPr>
                <w:rFonts w:ascii="Calibri" w:cs="Calibri" w:eastAsia="Calibri" w:hAnsi="Calibri"/>
                <w:color w:val="333333"/>
                <w:sz w:val="21"/>
                <w:szCs w:val="21"/>
              </w:rPr>
              <w:t xml:space="preserve">Proposal Turnaround: 11 days avg</w:t>
            </w:r>
          </w:p>
          <w:p>
            <w:pPr>
              <w:spacing w:after="60"/>
            </w:pPr>
            <w:r>
              <w:rPr>
                <w:rFonts w:ascii="Calibri" w:cs="Calibri" w:eastAsia="Calibri" w:hAnsi="Calibri"/>
                <w:color w:val="333333"/>
                <w:sz w:val="21"/>
                <w:szCs w:val="21"/>
              </w:rPr>
              <w:t xml:space="preserve">Win Rate (proposal): 29%</w:t>
            </w:r>
          </w:p>
          <w:p>
            <w:pPr>
              <w:spacing w:after="60"/>
            </w:pPr>
            <w:r>
              <w:rPr>
                <w:rFonts w:ascii="Calibri" w:cs="Calibri" w:eastAsia="Calibri" w:hAnsi="Calibri"/>
                <w:color w:val="333333"/>
                <w:sz w:val="21"/>
                <w:szCs w:val="21"/>
              </w:rPr>
              <w:t xml:space="preserve">Quarterly New ARR: RM 35,000</w:t>
            </w:r>
          </w:p>
          <w:p>
            <w:pPr>
              <w:spacing w:after="60"/>
            </w:pPr>
            <w:r>
              <w:rPr>
                <w:rFonts w:ascii="Calibri" w:cs="Calibri" w:eastAsia="Calibri" w:hAnsi="Calibri"/>
                <w:color w:val="333333"/>
                <w:sz w:val="21"/>
                <w:szCs w:val="21"/>
              </w:rPr>
              <w:t xml:space="preserve">Pipeline Visibility: Spreadsheet (outdated)</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Monthly Demos: 7</w:t>
            </w:r>
          </w:p>
          <w:p>
            <w:pPr>
              <w:spacing w:after="60"/>
            </w:pPr>
            <w:r>
              <w:rPr>
                <w:rFonts w:ascii="Calibri" w:cs="Calibri" w:eastAsia="Calibri" w:hAnsi="Calibri"/>
                <w:color w:val="333333"/>
                <w:sz w:val="21"/>
                <w:szCs w:val="21"/>
              </w:rPr>
              <w:t xml:space="preserve">Monthly Proposals: 4</w:t>
            </w:r>
          </w:p>
          <w:p>
            <w:pPr>
              <w:spacing w:after="60"/>
            </w:pPr>
            <w:r>
              <w:rPr>
                <w:rFonts w:ascii="Calibri" w:cs="Calibri" w:eastAsia="Calibri" w:hAnsi="Calibri"/>
                <w:color w:val="333333"/>
                <w:sz w:val="21"/>
                <w:szCs w:val="21"/>
              </w:rPr>
              <w:t xml:space="preserve">Proposal Turnaround: 1.8 days avg</w:t>
            </w:r>
          </w:p>
          <w:p>
            <w:pPr>
              <w:spacing w:after="60"/>
            </w:pPr>
            <w:r>
              <w:rPr>
                <w:rFonts w:ascii="Calibri" w:cs="Calibri" w:eastAsia="Calibri" w:hAnsi="Calibri"/>
                <w:color w:val="333333"/>
                <w:sz w:val="21"/>
                <w:szCs w:val="21"/>
              </w:rPr>
              <w:t xml:space="preserve">Win Rate (proposal): 39%</w:t>
            </w:r>
          </w:p>
          <w:p>
            <w:pPr>
              <w:spacing w:after="60"/>
            </w:pPr>
            <w:r>
              <w:rPr>
                <w:rFonts w:ascii="Calibri" w:cs="Calibri" w:eastAsia="Calibri" w:hAnsi="Calibri"/>
                <w:color w:val="333333"/>
                <w:sz w:val="21"/>
                <w:szCs w:val="21"/>
              </w:rPr>
              <w:t xml:space="preserve">Quarterly New ARR: RM 142,000</w:t>
            </w:r>
          </w:p>
          <w:p>
            <w:pPr>
              <w:spacing w:after="60"/>
            </w:pPr>
            <w:r>
              <w:rPr>
                <w:rFonts w:ascii="Calibri" w:cs="Calibri" w:eastAsia="Calibri" w:hAnsi="Calibri"/>
                <w:color w:val="333333"/>
                <w:sz w:val="21"/>
                <w:szCs w:val="21"/>
              </w:rPr>
              <w:t xml:space="preserve">Pipeline Visibility: Odoo CRM (real-time)</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Deliverables Completed</w:t>
      </w:r>
    </w:p>
    <w:p>
      <w:pPr>
        <w:pStyle w:val="ListParagraph"/>
        <w:numPr>
          <w:ilvl w:val="0"/>
          <w:numId w:val="1"/>
        </w:numPr>
        <w:spacing w:after="80"/>
      </w:pPr>
      <w:r>
        <w:rPr>
          <w:rFonts w:ascii="Calibri" w:cs="Calibri" w:eastAsia="Calibri" w:hAnsi="Calibri"/>
          <w:color w:val="7F1D1D"/>
          <w:sz w:val="22"/>
          <w:szCs w:val="22"/>
        </w:rPr>
        <w:t xml:space="preserve">Senior AE placement (4+ years enterprise software experience)</w:t>
      </w:r>
    </w:p>
    <w:p>
      <w:pPr>
        <w:pStyle w:val="ListParagraph"/>
        <w:numPr>
          <w:ilvl w:val="0"/>
          <w:numId w:val="1"/>
        </w:numPr>
        <w:spacing w:after="80"/>
      </w:pPr>
      <w:r>
        <w:rPr>
          <w:rFonts w:ascii="Calibri" w:cs="Calibri" w:eastAsia="Calibri" w:hAnsi="Calibri"/>
          <w:color w:val="7F1D1D"/>
          <w:sz w:val="22"/>
          <w:szCs w:val="22"/>
        </w:rPr>
        <w:t xml:space="preserve">Discovery call framework (5-need-question + pain amplification model)</w:t>
      </w:r>
    </w:p>
    <w:p>
      <w:pPr>
        <w:pStyle w:val="ListParagraph"/>
        <w:numPr>
          <w:ilvl w:val="0"/>
          <w:numId w:val="1"/>
        </w:numPr>
        <w:spacing w:after="80"/>
      </w:pPr>
      <w:r>
        <w:rPr>
          <w:rFonts w:ascii="Calibri" w:cs="Calibri" w:eastAsia="Calibri" w:hAnsi="Calibri"/>
          <w:color w:val="7F1D1D"/>
          <w:sz w:val="22"/>
          <w:szCs w:val="22"/>
        </w:rPr>
        <w:t xml:space="preserve">Google Docs proposal template (7-section with dynamic fields)</w:t>
      </w:r>
    </w:p>
    <w:p>
      <w:pPr>
        <w:pStyle w:val="ListParagraph"/>
        <w:numPr>
          <w:ilvl w:val="0"/>
          <w:numId w:val="1"/>
        </w:numPr>
        <w:spacing w:after="80"/>
      </w:pPr>
      <w:r>
        <w:rPr>
          <w:rFonts w:ascii="Calibri" w:cs="Calibri" w:eastAsia="Calibri" w:hAnsi="Calibri"/>
          <w:color w:val="7F1D1D"/>
          <w:sz w:val="22"/>
          <w:szCs w:val="22"/>
        </w:rPr>
        <w:t xml:space="preserve">Recovery outreach to 18 stagnant pipeline opportunities</w:t>
      </w:r>
    </w:p>
    <w:p>
      <w:pPr>
        <w:pStyle w:val="ListParagraph"/>
        <w:numPr>
          <w:ilvl w:val="0"/>
          <w:numId w:val="1"/>
        </w:numPr>
        <w:spacing w:after="80"/>
      </w:pPr>
      <w:r>
        <w:rPr>
          <w:rFonts w:ascii="Calibri" w:cs="Calibri" w:eastAsia="Calibri" w:hAnsi="Calibri"/>
          <w:color w:val="7F1D1D"/>
          <w:sz w:val="22"/>
          <w:szCs w:val="22"/>
        </w:rPr>
        <w:t xml:space="preserve">48-hour proposal turnaround SLA and workflow</w:t>
      </w:r>
    </w:p>
    <w:p>
      <w:pPr>
        <w:pStyle w:val="ListParagraph"/>
        <w:numPr>
          <w:ilvl w:val="0"/>
          <w:numId w:val="1"/>
        </w:numPr>
        <w:spacing w:after="80"/>
      </w:pPr>
      <w:r>
        <w:rPr>
          <w:rFonts w:ascii="Calibri" w:cs="Calibri" w:eastAsia="Calibri" w:hAnsi="Calibri"/>
          <w:color w:val="7F1D1D"/>
          <w:sz w:val="22"/>
          <w:szCs w:val="22"/>
        </w:rPr>
        <w:t xml:space="preserve">Weekly Zoom demo recording + coaching review session</w:t>
      </w:r>
    </w:p>
    <w:p>
      <w:pPr>
        <w:pStyle w:val="ListParagraph"/>
        <w:numPr>
          <w:ilvl w:val="0"/>
          <w:numId w:val="1"/>
        </w:numPr>
        <w:spacing w:after="80"/>
      </w:pPr>
      <w:r>
        <w:rPr>
          <w:rFonts w:ascii="Calibri" w:cs="Calibri" w:eastAsia="Calibri" w:hAnsi="Calibri"/>
          <w:color w:val="7F1D1D"/>
          <w:sz w:val="22"/>
          <w:szCs w:val="22"/>
        </w:rPr>
        <w:t xml:space="preserve">LinkedIn presence: 3 posts/week via Buffer</w:t>
      </w:r>
    </w:p>
    <w:p>
      <w:pPr>
        <w:pStyle w:val="ListParagraph"/>
        <w:numPr>
          <w:ilvl w:val="0"/>
          <w:numId w:val="1"/>
        </w:numPr>
        <w:spacing w:after="80"/>
      </w:pPr>
      <w:r>
        <w:rPr>
          <w:rFonts w:ascii="Calibri" w:cs="Calibri" w:eastAsia="Calibri" w:hAnsi="Calibri"/>
          <w:color w:val="7F1D1D"/>
          <w:sz w:val="22"/>
          <w:szCs w:val="22"/>
        </w:rPr>
        <w:t xml:space="preserve">Weekly CRM pipeline review and forecast update</w:t>
      </w:r>
    </w:p>
    <w:p>
      <w:pPr>
        <w:pStyle w:val="ListParagraph"/>
        <w:numPr>
          <w:ilvl w:val="0"/>
          <w:numId w:val="1"/>
        </w:numPr>
        <w:spacing w:after="80"/>
      </w:pPr>
      <w:r>
        <w:rPr>
          <w:rFonts w:ascii="Calibri" w:cs="Calibri" w:eastAsia="Calibri" w:hAnsi="Calibri"/>
          <w:color w:val="7F1D1D"/>
          <w:sz w:val="22"/>
          <w:szCs w:val="22"/>
        </w:rPr>
        <w:t xml:space="preserve">Monthly performance report: demos, proposals, closed, pipeline value</w:t>
      </w:r>
    </w:p>
    <w:p>
      <w:pPr>
        <w:pStyle w:val="ListParagraph"/>
        <w:numPr>
          <w:ilvl w:val="0"/>
          <w:numId w:val="1"/>
        </w:numPr>
        <w:spacing w:after="80"/>
      </w:pPr>
      <w:r>
        <w:rPr>
          <w:rFonts w:ascii="Calibri" w:cs="Calibri" w:eastAsia="Calibri" w:hAnsi="Calibri"/>
          <w:color w:val="7F1D1D"/>
          <w:sz w:val="22"/>
          <w:szCs w:val="22"/>
        </w:rPr>
        <w:t xml:space="preserve">Post-loss debrief framework (5 loss reason categories)</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Client Testimonial</w:t>
      </w:r>
    </w:p>
    <w:p>
      <w:pPr>
        <w:pBdr>
          <w:left w:val="thick" w:color="DC2626" w:sz="16"/>
        </w:pBdr>
        <w:shd w:fill="FEF2F2" w:color="auto" w:val="clear"/>
        <w:spacing w:after="80" w:before="140"/>
        <w:ind w:left="431"/>
      </w:pPr>
      <w:r>
        <w:rPr>
          <w:rFonts w:ascii="Calibri" w:cs="Calibri" w:eastAsia="Calibri" w:hAnsi="Calibri"/>
          <w:i/>
          <w:iCs/>
          <w:color w:val="1E293B"/>
          <w:sz w:val="22"/>
          <w:szCs w:val="22"/>
        </w:rPr>
        <w:t xml:space="preserve">"Handing over the sales process was something we'd been hesitant to do as founders. But within 30 days the AE had recovered 11 stalled deals, and by the end of 90 days we'd closed more than we typically close in a full year. The structured demo and proposal process made the difference."</w:t>
      </w:r>
    </w:p>
    <w:p>
      <w:pPr>
        <w:spacing w:after="160"/>
        <w:ind w:left="431"/>
      </w:pPr>
      <w:r>
        <w:rPr>
          <w:rFonts w:ascii="Calibri" w:cs="Calibri" w:eastAsia="Calibri" w:hAnsi="Calibri"/>
          <w:b/>
          <w:bCs/>
          <w:color w:val="0A2540"/>
          <w:sz w:val="21"/>
          <w:szCs w:val="21"/>
        </w:rPr>
        <w:t xml:space="preserve">Vincent Lee</w:t>
      </w:r>
      <w:r>
        <w:rPr>
          <w:rFonts w:ascii="Calibri" w:cs="Calibri" w:eastAsia="Calibri" w:hAnsi="Calibri"/>
          <w:color w:val="555555"/>
          <w:sz w:val="20"/>
          <w:szCs w:val="20"/>
        </w:rPr>
        <w:t xml:space="preserve">  ·  Managing Director, NexaBuild Solutions Sdn Bhd</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2026-05-01T06:54:33.430Z</dcterms:created>
  <dcterms:modified xsi:type="dcterms:W3CDTF">2026-05-01T06:54:33.430Z</dcterms:modified>
</cp:coreProperties>
</file>

<file path=docProps/custom.xml><?xml version="1.0" encoding="utf-8"?>
<Properties xmlns="http://schemas.openxmlformats.org/officeDocument/2006/custom-properties" xmlns:vt="http://schemas.openxmlformats.org/officeDocument/2006/docPropsVTypes"/>
</file>