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color w:val="888888"/>
          <w:sz w:val="18"/>
          <w:szCs w:val="18"/>
        </w:rPr>
        <w:t xml:space="preserve">HARD TIER — CASE STUDY</w:t>
      </w:r>
    </w:p>
    <w:p>
      <w:pPr>
        <w:spacing w:after="80"/>
      </w:pPr>
      <w:r>
        <w:rPr>
          <w:rFonts w:ascii="Calibri" w:cs="Calibri" w:eastAsia="Calibri" w:hAnsi="Calibri"/>
          <w:b/>
          <w:bCs/>
          <w:color w:val="0A2540"/>
          <w:sz w:val="46"/>
          <w:szCs w:val="46"/>
        </w:rPr>
        <w:t xml:space="preserve">Fractional Sales Manager</w:t>
      </w:r>
    </w:p>
    <w:p>
      <w:pPr>
        <w:spacing w:after="80"/>
      </w:pPr>
      <w:r>
        <w:rPr>
          <w:rFonts w:ascii="Calibri" w:cs="Calibri" w:eastAsia="Calibri" w:hAnsi="Calibri"/>
          <w:i/>
          <w:iCs/>
          <w:color w:val="555555"/>
          <w:sz w:val="22"/>
          <w:szCs w:val="22"/>
        </w:rPr>
        <w:t xml:space="preserve">How a distribution company lifted team quota attainment from 61% to 87% with fractional sales management and weekly coaching</w:t>
      </w:r>
    </w:p>
    <w:p>
      <w:pPr>
        <w:spacing w:after="80"/>
      </w:pPr>
      <w:r>
        <w:rPr>
          <w:rFonts w:ascii="Calibri" w:cs="Calibri" w:eastAsia="Calibri" w:hAnsi="Calibri"/>
          <w:color w:val="64748B"/>
          <w:sz w:val="20"/>
          <w:szCs w:val="20"/>
        </w:rPr>
        <w:t xml:space="preserve">🏢 PrimeLine Distribution Sdn Bhd   |   📦 Industrial Supplies Distribution   |   📍 Port Klang, Selangor   |   📅 Feb – Apr 2026</w:t>
      </w:r>
    </w:p>
    <w:p>
      <w:pPr>
        <w:pBdr>
          <w:bottom w:val="single" w:color="0A2540" w:sz="8"/>
        </w:pBdr>
        <w:spacing w:after="40" w:before="40"/>
      </w:pPr>
      <w:r>
        <w:rPr>
          <w:rFonts w:ascii="Calibri" w:cs="Calibri" w:eastAsia="Calibri" w:hAnsi="Calibri"/>
          <w:sz w:val="4"/>
          <w:szCs w:val="4"/>
        </w:rPr>
        <w:t xml:space="preserve"> </w:t>
      </w:r>
    </w:p>
    <w:p>
      <w:pPr>
        <w:spacing w:after="40"/>
      </w:pPr>
      <w:r>
        <w:rPr>
          <w:rFonts w:ascii="Calibri" w:cs="Calibri" w:eastAsia="Calibri" w:hAnsi="Calibri"/>
          <w:sz w:val="4"/>
          <w:szCs w:val="4"/>
        </w:rP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FECACA" w:sz="4"/>
              <w:left w:val="single" w:color="FECACA" w:sz="4"/>
              <w:bottom w:val="single" w:color="FECACA" w:sz="4"/>
              <w:right w:val="single" w:color="FECACA" w:sz="4"/>
            </w:tcBorders>
            <w:shd w:fill="FEF2F2" w:color="auto" w:val="clear"/>
            <w:tcMar>
              <w:top w:type="dxa" w:w="172"/>
              <w:left w:type="dxa" w:w="144"/>
              <w:bottom w:type="dxa" w:w="172"/>
              <w:right w:type="dxa" w:w="144"/>
            </w:tcMar>
          </w:tcPr>
          <w:p>
            <w:pPr>
              <w:spacing w:after="40"/>
              <w:jc w:val="center"/>
            </w:pPr>
            <w:r>
              <w:rPr>
                <w:rFonts w:ascii="Calibri" w:cs="Calibri" w:eastAsia="Calibri" w:hAnsi="Calibri"/>
                <w:b/>
                <w:bCs/>
                <w:color w:val="DC2626"/>
                <w:sz w:val="40"/>
                <w:szCs w:val="40"/>
              </w:rPr>
              <w:t xml:space="preserve">87%</w:t>
            </w:r>
          </w:p>
          <w:p>
            <w:pPr>
              <w:jc w:val="center"/>
            </w:pPr>
            <w:r>
              <w:rPr>
                <w:rFonts w:ascii="Calibri" w:cs="Calibri" w:eastAsia="Calibri" w:hAnsi="Calibri"/>
                <w:color w:val="555555"/>
                <w:sz w:val="20"/>
                <w:szCs w:val="20"/>
              </w:rPr>
              <w:t xml:space="preserve">Team Quota Attainment (vs 61% Before)</w:t>
            </w:r>
          </w:p>
        </w:tc>
        <w:tc>
          <w:tcPr>
            <w:tcBorders>
              <w:top w:val="single" w:color="FECACA" w:sz="4"/>
              <w:left w:val="single" w:color="FECACA" w:sz="4"/>
              <w:bottom w:val="single" w:color="FECACA" w:sz="4"/>
              <w:right w:val="single" w:color="FECACA" w:sz="4"/>
            </w:tcBorders>
            <w:shd w:fill="FEF2F2" w:color="auto" w:val="clear"/>
            <w:tcMar>
              <w:top w:type="dxa" w:w="172"/>
              <w:left w:type="dxa" w:w="144"/>
              <w:bottom w:type="dxa" w:w="172"/>
              <w:right w:type="dxa" w:w="144"/>
            </w:tcMar>
          </w:tcPr>
          <w:p>
            <w:pPr>
              <w:spacing w:after="40"/>
              <w:jc w:val="center"/>
            </w:pPr>
            <w:r>
              <w:rPr>
                <w:rFonts w:ascii="Calibri" w:cs="Calibri" w:eastAsia="Calibri" w:hAnsi="Calibri"/>
                <w:b/>
                <w:bCs/>
                <w:color w:val="DC2626"/>
                <w:sz w:val="40"/>
                <w:szCs w:val="40"/>
              </w:rPr>
              <w:t xml:space="preserve">±4.2%</w:t>
            </w:r>
          </w:p>
          <w:p>
            <w:pPr>
              <w:jc w:val="center"/>
            </w:pPr>
            <w:r>
              <w:rPr>
                <w:rFonts w:ascii="Calibri" w:cs="Calibri" w:eastAsia="Calibri" w:hAnsi="Calibri"/>
                <w:color w:val="555555"/>
                <w:sz w:val="20"/>
                <w:szCs w:val="20"/>
              </w:rPr>
              <w:t xml:space="preserve">Monthly Forecast Accuracy</w:t>
            </w:r>
          </w:p>
        </w:tc>
        <w:tc>
          <w:tcPr>
            <w:tcBorders>
              <w:top w:val="single" w:color="FECACA" w:sz="4"/>
              <w:left w:val="single" w:color="FECACA" w:sz="4"/>
              <w:bottom w:val="single" w:color="FECACA" w:sz="4"/>
              <w:right w:val="single" w:color="FECACA" w:sz="4"/>
            </w:tcBorders>
            <w:shd w:fill="FEF2F2" w:color="auto" w:val="clear"/>
            <w:tcMar>
              <w:top w:type="dxa" w:w="172"/>
              <w:left w:type="dxa" w:w="144"/>
              <w:bottom w:type="dxa" w:w="172"/>
              <w:right w:type="dxa" w:w="144"/>
            </w:tcMar>
          </w:tcPr>
          <w:p>
            <w:pPr>
              <w:spacing w:after="40"/>
              <w:jc w:val="center"/>
            </w:pPr>
            <w:r>
              <w:rPr>
                <w:rFonts w:ascii="Calibri" w:cs="Calibri" w:eastAsia="Calibri" w:hAnsi="Calibri"/>
                <w:b/>
                <w:bCs/>
                <w:color w:val="DC2626"/>
                <w:sz w:val="40"/>
                <w:szCs w:val="40"/>
              </w:rPr>
              <w:t xml:space="preserve">100%</w:t>
            </w:r>
          </w:p>
          <w:p>
            <w:pPr>
              <w:jc w:val="center"/>
            </w:pPr>
            <w:r>
              <w:rPr>
                <w:rFonts w:ascii="Calibri" w:cs="Calibri" w:eastAsia="Calibri" w:hAnsi="Calibri"/>
                <w:color w:val="555555"/>
                <w:sz w:val="20"/>
                <w:szCs w:val="20"/>
              </w:rPr>
              <w:t xml:space="preserve">Reps Coached Weekly (All 4)</w:t>
            </w:r>
          </w:p>
        </w:tc>
      </w:tr>
    </w:tbl>
    <w:p>
      <w:pPr>
        <w:spacing w:after="120"/>
      </w:pPr>
      <w:r>
        <w:rPr>
          <w:rFonts w:ascii="Calibri" w:cs="Calibri" w:eastAsia="Calibri" w:hAnsi="Calibri"/>
          <w:sz w:val="4"/>
          <w:szCs w:val="4"/>
        </w:rPr>
        <w:t xml:space="preserve"> </w:t>
      </w:r>
    </w:p>
    <w:p>
      <w:pPr>
        <w:pBdr>
          <w:bottom w:val="single" w:color="DC2626" w:sz="4"/>
        </w:pBdr>
        <w:spacing w:after="100" w:before="320"/>
      </w:pPr>
      <w:r>
        <w:rPr>
          <w:rFonts w:ascii="Calibri" w:cs="Calibri" w:eastAsia="Calibri" w:hAnsi="Calibri"/>
          <w:b/>
          <w:bCs/>
          <w:color w:val="0A2540"/>
          <w:sz w:val="26"/>
          <w:szCs w:val="26"/>
        </w:rPr>
        <w:t xml:space="preserve">Client Overview</w:t>
      </w:r>
    </w:p>
    <w:p>
      <w:pPr>
        <w:spacing w:after="100"/>
      </w:pPr>
      <w:r>
        <w:rPr>
          <w:rFonts w:ascii="Calibri" w:cs="Calibri" w:eastAsia="Calibri" w:hAnsi="Calibri"/>
          <w:color w:val="333333"/>
          <w:sz w:val="22"/>
          <w:szCs w:val="22"/>
        </w:rPr>
        <w:t xml:space="preserve">PrimeLine Distribution is an industrial supplies distributor serving construction, manufacturing, and engineering companies across Peninsular Malaysia. With a 4-person sales team managing 200+ active accounts and a combined monthly revenue target of RM480,000, the company had been consistently hitting only 55–65% of quota for the preceding two quarters.</w:t>
      </w:r>
    </w:p>
    <w:p>
      <w:pPr>
        <w:spacing w:after="100"/>
      </w:pPr>
      <w:r>
        <w:rPr>
          <w:rFonts w:ascii="Calibri" w:cs="Calibri" w:eastAsia="Calibri" w:hAnsi="Calibri"/>
          <w:color w:val="333333"/>
          <w:sz w:val="22"/>
          <w:szCs w:val="22"/>
        </w:rPr>
        <w:t xml:space="preserve">The General Manager was handling both operational and sales leadership responsibilities — a split focus that left the sales team without structured coaching, no pipeline visibility beyond a weekly check-in meeting, and no formal process for deal reviews or forecast accuracy. Two of the four reps had been with the company under two years and had never received formal sales coaching.</w:t>
      </w:r>
    </w:p>
    <w:p>
      <w:pPr>
        <w:spacing w:after="100"/>
      </w:pPr>
      <w:r>
        <w:rPr>
          <w:rFonts w:ascii="Calibri" w:cs="Calibri" w:eastAsia="Calibri" w:hAnsi="Calibri"/>
          <w:color w:val="333333"/>
          <w:sz w:val="22"/>
          <w:szCs w:val="22"/>
        </w:rPr>
        <w:t xml:space="preserve">TechNext Asia provided a Fractional Sales Manager for 80 hours per month: running weekly 1:1 coaching sessions, building a KPI dashboard with pipeline health metrics, delivering monthly forecast review meetings, and creating a sales coaching playbook that the GM could use to continue the cadence independently after the engagement.</w:t>
      </w:r>
    </w:p>
    <w:p>
      <w:pPr>
        <w:spacing w:after="40"/>
      </w:pPr>
      <w:r>
        <w:rPr>
          <w:rFonts w:ascii="Calibri" w:cs="Calibri" w:eastAsia="Calibri" w:hAnsi="Calibri"/>
          <w:sz w:val="4"/>
          <w:szCs w:val="4"/>
        </w:rPr>
        <w:t xml:space="preserve"> </w:t>
      </w:r>
    </w:p>
    <w:p>
      <w:pPr>
        <w:pBdr>
          <w:bottom w:val="single" w:color="DC2626" w:sz="4"/>
        </w:pBdr>
        <w:spacing w:after="100" w:before="320"/>
      </w:pPr>
      <w:r>
        <w:rPr>
          <w:rFonts w:ascii="Calibri" w:cs="Calibri" w:eastAsia="Calibri" w:hAnsi="Calibri"/>
          <w:b/>
          <w:bCs/>
          <w:color w:val="0A2540"/>
          <w:sz w:val="26"/>
          <w:szCs w:val="26"/>
        </w:rPr>
        <w:t xml:space="preserve">The Challenge</w:t>
      </w:r>
    </w:p>
    <w:p>
      <w:pPr>
        <w:pStyle w:val="ListParagraph"/>
        <w:numPr>
          <w:ilvl w:val="0"/>
          <w:numId w:val="1"/>
        </w:numPr>
        <w:spacing w:after="80"/>
      </w:pPr>
      <w:r>
        <w:rPr>
          <w:rFonts w:ascii="Calibri" w:cs="Calibri" w:eastAsia="Calibri" w:hAnsi="Calibri"/>
          <w:color w:val="333333"/>
          <w:sz w:val="22"/>
          <w:szCs w:val="22"/>
        </w:rPr>
        <w:t xml:space="preserve">GM splitting time between operations and sales leadership — no consistent coaching structure for the team</w:t>
      </w:r>
    </w:p>
    <w:p>
      <w:pPr>
        <w:pStyle w:val="ListParagraph"/>
        <w:numPr>
          <w:ilvl w:val="0"/>
          <w:numId w:val="1"/>
        </w:numPr>
        <w:spacing w:after="80"/>
      </w:pPr>
      <w:r>
        <w:rPr>
          <w:rFonts w:ascii="Calibri" w:cs="Calibri" w:eastAsia="Calibri" w:hAnsi="Calibri"/>
          <w:color w:val="333333"/>
          <w:sz w:val="22"/>
          <w:szCs w:val="22"/>
        </w:rPr>
        <w:t xml:space="preserve">4-rep team with no formal pipeline review process — deals were discussed verbally with no CRM or tracker</w:t>
      </w:r>
    </w:p>
    <w:p>
      <w:pPr>
        <w:pStyle w:val="ListParagraph"/>
        <w:numPr>
          <w:ilvl w:val="0"/>
          <w:numId w:val="1"/>
        </w:numPr>
        <w:spacing w:after="80"/>
      </w:pPr>
      <w:r>
        <w:rPr>
          <w:rFonts w:ascii="Calibri" w:cs="Calibri" w:eastAsia="Calibri" w:hAnsi="Calibri"/>
          <w:color w:val="333333"/>
          <w:sz w:val="22"/>
          <w:szCs w:val="22"/>
        </w:rPr>
        <w:t xml:space="preserve">Two junior reps had never received structured coaching — win rates of 18% and 22% vs 34% for senior reps</w:t>
      </w:r>
    </w:p>
    <w:p>
      <w:pPr>
        <w:pStyle w:val="ListParagraph"/>
        <w:numPr>
          <w:ilvl w:val="0"/>
          <w:numId w:val="1"/>
        </w:numPr>
        <w:spacing w:after="80"/>
      </w:pPr>
      <w:r>
        <w:rPr>
          <w:rFonts w:ascii="Calibri" w:cs="Calibri" w:eastAsia="Calibri" w:hAnsi="Calibri"/>
          <w:color w:val="333333"/>
          <w:sz w:val="22"/>
          <w:szCs w:val="22"/>
        </w:rPr>
        <w:t xml:space="preserve">Monthly forecasts were gut-feel estimates — variance of ±35% making inventory planning and cash flow management difficult</w:t>
      </w:r>
    </w:p>
    <w:p>
      <w:pPr>
        <w:pStyle w:val="ListParagraph"/>
        <w:numPr>
          <w:ilvl w:val="0"/>
          <w:numId w:val="1"/>
        </w:numPr>
        <w:spacing w:after="80"/>
      </w:pPr>
      <w:r>
        <w:rPr>
          <w:rFonts w:ascii="Calibri" w:cs="Calibri" w:eastAsia="Calibri" w:hAnsi="Calibri"/>
          <w:color w:val="333333"/>
          <w:sz w:val="22"/>
          <w:szCs w:val="22"/>
        </w:rPr>
        <w:t xml:space="preserve">No post-deal review process — reps weren't learning systematically from won or lost deals</w:t>
      </w:r>
    </w:p>
    <w:p>
      <w:pPr>
        <w:pStyle w:val="ListParagraph"/>
        <w:numPr>
          <w:ilvl w:val="0"/>
          <w:numId w:val="1"/>
        </w:numPr>
        <w:spacing w:after="80"/>
      </w:pPr>
      <w:r>
        <w:rPr>
          <w:rFonts w:ascii="Calibri" w:cs="Calibri" w:eastAsia="Calibri" w:hAnsi="Calibri"/>
          <w:color w:val="333333"/>
          <w:sz w:val="22"/>
          <w:szCs w:val="22"/>
        </w:rPr>
        <w:t xml:space="preserve">No KPI dashboard — individual rep performance was assessed informally based on revenue only</w:t>
      </w:r>
    </w:p>
    <w:p>
      <w:pPr>
        <w:pStyle w:val="ListParagraph"/>
        <w:numPr>
          <w:ilvl w:val="0"/>
          <w:numId w:val="1"/>
        </w:numPr>
        <w:spacing w:after="80"/>
      </w:pPr>
      <w:r>
        <w:rPr>
          <w:rFonts w:ascii="Calibri" w:cs="Calibri" w:eastAsia="Calibri" w:hAnsi="Calibri"/>
          <w:color w:val="333333"/>
          <w:sz w:val="22"/>
          <w:szCs w:val="22"/>
        </w:rPr>
        <w:t xml:space="preserve">Quota of RM480k/month being hit at 61% average — RM187k/month gap that was eroding margin and team confidence</w:t>
      </w:r>
    </w:p>
    <w:p>
      <w:pPr>
        <w:spacing w:after="40"/>
      </w:pPr>
      <w:r>
        <w:rPr>
          <w:rFonts w:ascii="Calibri" w:cs="Calibri" w:eastAsia="Calibri" w:hAnsi="Calibri"/>
          <w:sz w:val="4"/>
          <w:szCs w:val="4"/>
        </w:rPr>
        <w:t xml:space="preserve"> </w:t>
      </w:r>
    </w:p>
    <w:p>
      <w:pPr>
        <w:pBdr>
          <w:bottom w:val="single" w:color="DC2626" w:sz="4"/>
        </w:pBdr>
        <w:spacing w:after="100" w:before="320"/>
      </w:pPr>
      <w:r>
        <w:rPr>
          <w:rFonts w:ascii="Calibri" w:cs="Calibri" w:eastAsia="Calibri" w:hAnsi="Calibri"/>
          <w:b/>
          <w:bCs/>
          <w:color w:val="0A2540"/>
          <w:sz w:val="26"/>
          <w:szCs w:val="26"/>
        </w:rPr>
        <w:t xml:space="preserve">Our 3-Phase Approach</w:t>
      </w:r>
    </w:p>
    <w:p>
      <w:pPr>
        <w:spacing w:after="80" w:before="200"/>
      </w:pPr>
      <w:r>
        <w:rPr>
          <w:rFonts w:ascii="Calibri" w:cs="Calibri" w:eastAsia="Calibri" w:hAnsi="Calibri"/>
          <w:b/>
          <w:bCs/>
          <w:color w:val="FFFFFF"/>
          <w:sz w:val="20"/>
          <w:szCs w:val="20"/>
          <w:shd w:fill="DC2626" w:color="auto" w:val="clear"/>
        </w:rPr>
        <w:t xml:space="preserve">Month 1</w:t>
      </w:r>
      <w:r>
        <w:rPr>
          <w:rFonts w:ascii="Calibri" w:cs="Calibri" w:eastAsia="Calibri" w:hAnsi="Calibri"/>
          <w:b/>
          <w:bCs/>
          <w:color w:val="0A2540"/>
          <w:sz w:val="22"/>
          <w:szCs w:val="22"/>
        </w:rPr>
        <w:t xml:space="preserve">   Audit, Baseline &amp; Coaching Architecture</w:t>
      </w:r>
    </w:p>
    <w:p>
      <w:pPr>
        <w:pStyle w:val="ListParagraph"/>
        <w:numPr>
          <w:ilvl w:val="0"/>
          <w:numId w:val="1"/>
        </w:numPr>
        <w:spacing w:after="70"/>
        <w:ind w:left="288"/>
      </w:pPr>
      <w:r>
        <w:rPr>
          <w:rFonts w:ascii="Calibri" w:cs="Calibri" w:eastAsia="Calibri" w:hAnsi="Calibri"/>
          <w:color w:val="444444"/>
          <w:sz w:val="21"/>
          <w:szCs w:val="21"/>
        </w:rPr>
        <w:t xml:space="preserve">Pulled 3 months of pipeline and deal data from Google Sheets — calculated per-rep: leads, demos, proposals, closes, win rate, average deal size</w:t>
      </w:r>
    </w:p>
    <w:p>
      <w:pPr>
        <w:pStyle w:val="ListParagraph"/>
        <w:numPr>
          <w:ilvl w:val="0"/>
          <w:numId w:val="1"/>
        </w:numPr>
        <w:spacing w:after="70"/>
        <w:ind w:left="288"/>
      </w:pPr>
      <w:r>
        <w:rPr>
          <w:rFonts w:ascii="Calibri" w:cs="Calibri" w:eastAsia="Calibri" w:hAnsi="Calibri"/>
          <w:color w:val="444444"/>
          <w:sz w:val="21"/>
          <w:szCs w:val="21"/>
        </w:rPr>
        <w:t xml:space="preserve">Identified skill gaps by rep using Claude AI analysis — Rep 1: prospecting cadence, Rep 2: objection handling, Rep 3: negotiation, Rep 4: proposal quality</w:t>
      </w:r>
    </w:p>
    <w:p>
      <w:pPr>
        <w:pStyle w:val="ListParagraph"/>
        <w:numPr>
          <w:ilvl w:val="0"/>
          <w:numId w:val="1"/>
        </w:numPr>
        <w:spacing w:after="70"/>
        <w:ind w:left="288"/>
      </w:pPr>
      <w:r>
        <w:rPr>
          <w:rFonts w:ascii="Calibri" w:cs="Calibri" w:eastAsia="Calibri" w:hAnsi="Calibri"/>
          <w:color w:val="444444"/>
          <w:sz w:val="21"/>
          <w:szCs w:val="21"/>
        </w:rPr>
        <w:t xml:space="preserve">Built KPI dashboard in Google Sheets: pipeline value, calls, demos, proposals, closed deals, win rate, quota % — colour-coded green/amber/red</w:t>
      </w:r>
    </w:p>
    <w:p>
      <w:pPr>
        <w:pStyle w:val="ListParagraph"/>
        <w:numPr>
          <w:ilvl w:val="0"/>
          <w:numId w:val="1"/>
        </w:numPr>
        <w:spacing w:after="70"/>
        <w:ind w:left="288"/>
      </w:pPr>
      <w:r>
        <w:rPr>
          <w:rFonts w:ascii="Calibri" w:cs="Calibri" w:eastAsia="Calibri" w:hAnsi="Calibri"/>
          <w:color w:val="444444"/>
          <w:sz w:val="21"/>
          <w:szCs w:val="21"/>
        </w:rPr>
        <w:t xml:space="preserve">Set weekly 1:1 schedule: Tuesdays 30-min per rep, Fridays joint pipeline review — all in Google Calendar</w:t>
      </w:r>
    </w:p>
    <w:p>
      <w:pPr>
        <w:spacing w:after="80" w:before="200"/>
      </w:pPr>
      <w:r>
        <w:rPr>
          <w:rFonts w:ascii="Calibri" w:cs="Calibri" w:eastAsia="Calibri" w:hAnsi="Calibri"/>
          <w:b/>
          <w:bCs/>
          <w:color w:val="FFFFFF"/>
          <w:sz w:val="20"/>
          <w:szCs w:val="20"/>
          <w:shd w:fill="DC2626" w:color="auto" w:val="clear"/>
        </w:rPr>
        <w:t xml:space="preserve">Month 2</w:t>
      </w:r>
      <w:r>
        <w:rPr>
          <w:rFonts w:ascii="Calibri" w:cs="Calibri" w:eastAsia="Calibri" w:hAnsi="Calibri"/>
          <w:b/>
          <w:bCs/>
          <w:color w:val="0A2540"/>
          <w:sz w:val="22"/>
          <w:szCs w:val="22"/>
        </w:rPr>
        <w:t xml:space="preserve">   Coaching Execution &amp; Playbook Build</w:t>
      </w:r>
    </w:p>
    <w:p>
      <w:pPr>
        <w:pStyle w:val="ListParagraph"/>
        <w:numPr>
          <w:ilvl w:val="0"/>
          <w:numId w:val="1"/>
        </w:numPr>
        <w:spacing w:after="70"/>
        <w:ind w:left="288"/>
      </w:pPr>
      <w:r>
        <w:rPr>
          <w:rFonts w:ascii="Calibri" w:cs="Calibri" w:eastAsia="Calibri" w:hAnsi="Calibri"/>
          <w:color w:val="444444"/>
          <w:sz w:val="21"/>
          <w:szCs w:val="21"/>
        </w:rPr>
        <w:t xml:space="preserve">Delivered 8 individual 1:1 sessions across all 4 reps — each session: review 2 real deals, identify one skill to practise, set one action before next session</w:t>
      </w:r>
    </w:p>
    <w:p>
      <w:pPr>
        <w:pStyle w:val="ListParagraph"/>
        <w:numPr>
          <w:ilvl w:val="0"/>
          <w:numId w:val="1"/>
        </w:numPr>
        <w:spacing w:after="70"/>
        <w:ind w:left="288"/>
      </w:pPr>
      <w:r>
        <w:rPr>
          <w:rFonts w:ascii="Calibri" w:cs="Calibri" w:eastAsia="Calibri" w:hAnsi="Calibri"/>
          <w:color w:val="444444"/>
          <w:sz w:val="21"/>
          <w:szCs w:val="21"/>
        </w:rPr>
        <w:t xml:space="preserve">Built sales coaching playbook in Google Docs: 5 sections — prospecting, discovery, demo, proposal, objection handling — 3 exercises per section</w:t>
      </w:r>
    </w:p>
    <w:p>
      <w:pPr>
        <w:pStyle w:val="ListParagraph"/>
        <w:numPr>
          <w:ilvl w:val="0"/>
          <w:numId w:val="1"/>
        </w:numPr>
        <w:spacing w:after="70"/>
        <w:ind w:left="288"/>
      </w:pPr>
      <w:r>
        <w:rPr>
          <w:rFonts w:ascii="Calibri" w:cs="Calibri" w:eastAsia="Calibri" w:hAnsi="Calibri"/>
          <w:color w:val="444444"/>
          <w:sz w:val="21"/>
          <w:szCs w:val="21"/>
        </w:rPr>
        <w:t xml:space="preserve">Ran first monthly forecast review: each rep presented top 5 deals, TechNext challenged assumptions, calculated weighted forecast</w:t>
      </w:r>
    </w:p>
    <w:p>
      <w:pPr>
        <w:pStyle w:val="ListParagraph"/>
        <w:numPr>
          <w:ilvl w:val="0"/>
          <w:numId w:val="1"/>
        </w:numPr>
        <w:spacing w:after="70"/>
        <w:ind w:left="288"/>
      </w:pPr>
      <w:r>
        <w:rPr>
          <w:rFonts w:ascii="Calibri" w:cs="Calibri" w:eastAsia="Calibri" w:hAnsi="Calibri"/>
          <w:color w:val="444444"/>
          <w:sz w:val="21"/>
          <w:szCs w:val="21"/>
        </w:rPr>
        <w:t xml:space="preserve">Month 2 team quota attainment: 74% — 13-point improvement from 61% baseline; forecast accuracy: ±12%</w:t>
      </w:r>
    </w:p>
    <w:p>
      <w:pPr>
        <w:spacing w:after="80" w:before="200"/>
      </w:pPr>
      <w:r>
        <w:rPr>
          <w:rFonts w:ascii="Calibri" w:cs="Calibri" w:eastAsia="Calibri" w:hAnsi="Calibri"/>
          <w:b/>
          <w:bCs/>
          <w:color w:val="FFFFFF"/>
          <w:sz w:val="20"/>
          <w:szCs w:val="20"/>
          <w:shd w:fill="DC2626" w:color="auto" w:val="clear"/>
        </w:rPr>
        <w:t xml:space="preserve">Month 3</w:t>
      </w:r>
      <w:r>
        <w:rPr>
          <w:rFonts w:ascii="Calibri" w:cs="Calibri" w:eastAsia="Calibri" w:hAnsi="Calibri"/>
          <w:b/>
          <w:bCs/>
          <w:color w:val="0A2540"/>
          <w:sz w:val="22"/>
          <w:szCs w:val="22"/>
        </w:rPr>
        <w:t xml:space="preserve">   Momentum &amp; Handoff Preparation</w:t>
      </w:r>
    </w:p>
    <w:p>
      <w:pPr>
        <w:pStyle w:val="ListParagraph"/>
        <w:numPr>
          <w:ilvl w:val="0"/>
          <w:numId w:val="1"/>
        </w:numPr>
        <w:spacing w:after="70"/>
        <w:ind w:left="288"/>
      </w:pPr>
      <w:r>
        <w:rPr>
          <w:rFonts w:ascii="Calibri" w:cs="Calibri" w:eastAsia="Calibri" w:hAnsi="Calibri"/>
          <w:color w:val="444444"/>
          <w:sz w:val="21"/>
          <w:szCs w:val="21"/>
        </w:rPr>
        <w:t xml:space="preserve">All 4 reps hit personal quota targets in Month 3 — first time team collectively reached 87% of combined quota</w:t>
      </w:r>
    </w:p>
    <w:p>
      <w:pPr>
        <w:pStyle w:val="ListParagraph"/>
        <w:numPr>
          <w:ilvl w:val="0"/>
          <w:numId w:val="1"/>
        </w:numPr>
        <w:spacing w:after="70"/>
        <w:ind w:left="288"/>
      </w:pPr>
      <w:r>
        <w:rPr>
          <w:rFonts w:ascii="Calibri" w:cs="Calibri" w:eastAsia="Calibri" w:hAnsi="Calibri"/>
          <w:color w:val="444444"/>
          <w:sz w:val="21"/>
          <w:szCs w:val="21"/>
        </w:rPr>
        <w:t xml:space="preserve">Two junior reps improved win rates from 18–22% to 31–34% — primary driver: structured objection handling framework</w:t>
      </w:r>
    </w:p>
    <w:p>
      <w:pPr>
        <w:pStyle w:val="ListParagraph"/>
        <w:numPr>
          <w:ilvl w:val="0"/>
          <w:numId w:val="1"/>
        </w:numPr>
        <w:spacing w:after="70"/>
        <w:ind w:left="288"/>
      </w:pPr>
      <w:r>
        <w:rPr>
          <w:rFonts w:ascii="Calibri" w:cs="Calibri" w:eastAsia="Calibri" w:hAnsi="Calibri"/>
          <w:color w:val="444444"/>
          <w:sz w:val="21"/>
          <w:szCs w:val="21"/>
        </w:rPr>
        <w:t xml:space="preserve">Trained GM on coaching cadence: provided 12-week coaching calendar template, meeting agenda, and skill-tracking sheet</w:t>
      </w:r>
    </w:p>
    <w:p>
      <w:pPr>
        <w:pStyle w:val="ListParagraph"/>
        <w:numPr>
          <w:ilvl w:val="0"/>
          <w:numId w:val="1"/>
        </w:numPr>
        <w:spacing w:after="70"/>
        <w:ind w:left="288"/>
      </w:pPr>
      <w:r>
        <w:rPr>
          <w:rFonts w:ascii="Calibri" w:cs="Calibri" w:eastAsia="Calibri" w:hAnsi="Calibri"/>
          <w:color w:val="444444"/>
          <w:sz w:val="21"/>
          <w:szCs w:val="21"/>
        </w:rPr>
        <w:t xml:space="preserve">Delivered final forecast review presentation in Google Slides — team results vs quota, rep progress, forecast model accuracy, coaching continuity plan</w:t>
      </w:r>
    </w:p>
    <w:p>
      <w:pPr>
        <w:spacing w:after="40"/>
      </w:pPr>
      <w:r>
        <w:rPr>
          <w:rFonts w:ascii="Calibri" w:cs="Calibri" w:eastAsia="Calibri" w:hAnsi="Calibri"/>
          <w:sz w:val="4"/>
          <w:szCs w:val="4"/>
        </w:rPr>
        <w:t xml:space="preserve"> </w:t>
      </w:r>
    </w:p>
    <w:p>
      <w:pPr>
        <w:pBdr>
          <w:bottom w:val="single" w:color="DC2626" w:sz="4"/>
        </w:pBdr>
        <w:spacing w:after="100" w:before="320"/>
      </w:pPr>
      <w:r>
        <w:rPr>
          <w:rFonts w:ascii="Calibri" w:cs="Calibri" w:eastAsia="Calibri" w:hAnsi="Calibri"/>
          <w:b/>
          <w:bCs/>
          <w:color w:val="0A2540"/>
          <w:sz w:val="26"/>
          <w:szCs w:val="26"/>
        </w:rPr>
        <w:t xml:space="preserve">Team KPI Dashboard (Month 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Borders>
              <w:top w:val="single" w:color="05192A" w:sz="4"/>
              <w:left w:val="single" w:color="05192A" w:sz="4"/>
              <w:bottom w:val="single" w:color="05192A" w:sz="4"/>
              <w:right w:val="single" w:color="05192A" w:sz="4"/>
            </w:tcBorders>
            <w:shd w:fill="0A2540" w:color="auto" w:val="clear"/>
            <w:tcMar>
              <w:top w:type="dxa" w:w="115"/>
              <w:left w:type="dxa" w:w="144"/>
              <w:bottom w:type="dxa" w:w="115"/>
              <w:right w:type="dxa" w:w="144"/>
            </w:tcMar>
          </w:tcPr>
          <w:p>
            <w:r>
              <w:rPr>
                <w:rFonts w:ascii="Calibri" w:cs="Calibri" w:eastAsia="Calibri" w:hAnsi="Calibri"/>
                <w:b/>
                <w:bCs/>
                <w:color w:val="FFFFFF"/>
                <w:sz w:val="19"/>
                <w:szCs w:val="19"/>
              </w:rPr>
              <w:t xml:space="preserve">Rep</w:t>
            </w:r>
          </w:p>
        </w:tc>
        <w:tc>
          <w:tcPr>
            <w:tcBorders>
              <w:top w:val="single" w:color="05192A" w:sz="4"/>
              <w:left w:val="single" w:color="05192A" w:sz="4"/>
              <w:bottom w:val="single" w:color="05192A" w:sz="4"/>
              <w:right w:val="single" w:color="05192A" w:sz="4"/>
            </w:tcBorders>
            <w:shd w:fill="0A2540" w:color="auto" w:val="clear"/>
            <w:tcMar>
              <w:top w:type="dxa" w:w="115"/>
              <w:left w:type="dxa" w:w="144"/>
              <w:bottom w:type="dxa" w:w="115"/>
              <w:right w:type="dxa" w:w="144"/>
            </w:tcMar>
          </w:tcPr>
          <w:p>
            <w:r>
              <w:rPr>
                <w:rFonts w:ascii="Calibri" w:cs="Calibri" w:eastAsia="Calibri" w:hAnsi="Calibri"/>
                <w:b/>
                <w:bCs/>
                <w:color w:val="FFFFFF"/>
                <w:sz w:val="19"/>
                <w:szCs w:val="19"/>
              </w:rPr>
              <w:t xml:space="preserve">Quota (RM)</w:t>
            </w:r>
          </w:p>
        </w:tc>
        <w:tc>
          <w:tcPr>
            <w:tcBorders>
              <w:top w:val="single" w:color="05192A" w:sz="4"/>
              <w:left w:val="single" w:color="05192A" w:sz="4"/>
              <w:bottom w:val="single" w:color="05192A" w:sz="4"/>
              <w:right w:val="single" w:color="05192A" w:sz="4"/>
            </w:tcBorders>
            <w:shd w:fill="0A2540" w:color="auto" w:val="clear"/>
            <w:tcMar>
              <w:top w:type="dxa" w:w="115"/>
              <w:left w:type="dxa" w:w="144"/>
              <w:bottom w:type="dxa" w:w="115"/>
              <w:right w:type="dxa" w:w="144"/>
            </w:tcMar>
          </w:tcPr>
          <w:p>
            <w:r>
              <w:rPr>
                <w:rFonts w:ascii="Calibri" w:cs="Calibri" w:eastAsia="Calibri" w:hAnsi="Calibri"/>
                <w:b/>
                <w:bCs/>
                <w:color w:val="FFFFFF"/>
                <w:sz w:val="19"/>
                <w:szCs w:val="19"/>
              </w:rPr>
              <w:t xml:space="preserve">Achieved (RM)</w:t>
            </w:r>
          </w:p>
        </w:tc>
        <w:tc>
          <w:tcPr>
            <w:tcBorders>
              <w:top w:val="single" w:color="05192A" w:sz="4"/>
              <w:left w:val="single" w:color="05192A" w:sz="4"/>
              <w:bottom w:val="single" w:color="05192A" w:sz="4"/>
              <w:right w:val="single" w:color="05192A" w:sz="4"/>
            </w:tcBorders>
            <w:shd w:fill="0A2540" w:color="auto" w:val="clear"/>
            <w:tcMar>
              <w:top w:type="dxa" w:w="115"/>
              <w:left w:type="dxa" w:w="144"/>
              <w:bottom w:type="dxa" w:w="115"/>
              <w:right w:type="dxa" w:w="144"/>
            </w:tcMar>
          </w:tcPr>
          <w:p>
            <w:r>
              <w:rPr>
                <w:rFonts w:ascii="Calibri" w:cs="Calibri" w:eastAsia="Calibri" w:hAnsi="Calibri"/>
                <w:b/>
                <w:bCs/>
                <w:color w:val="FFFFFF"/>
                <w:sz w:val="19"/>
                <w:szCs w:val="19"/>
              </w:rPr>
              <w:t xml:space="preserve">Attainment</w:t>
            </w:r>
          </w:p>
        </w:tc>
        <w:tc>
          <w:tcPr>
            <w:tcBorders>
              <w:top w:val="single" w:color="05192A" w:sz="4"/>
              <w:left w:val="single" w:color="05192A" w:sz="4"/>
              <w:bottom w:val="single" w:color="05192A" w:sz="4"/>
              <w:right w:val="single" w:color="05192A" w:sz="4"/>
            </w:tcBorders>
            <w:shd w:fill="0A2540" w:color="auto" w:val="clear"/>
            <w:tcMar>
              <w:top w:type="dxa" w:w="115"/>
              <w:left w:type="dxa" w:w="144"/>
              <w:bottom w:type="dxa" w:w="115"/>
              <w:right w:type="dxa" w:w="144"/>
            </w:tcMar>
          </w:tcPr>
          <w:p>
            <w:r>
              <w:rPr>
                <w:rFonts w:ascii="Calibri" w:cs="Calibri" w:eastAsia="Calibri" w:hAnsi="Calibri"/>
                <w:b/>
                <w:bCs/>
                <w:color w:val="FFFFFF"/>
                <w:sz w:val="19"/>
                <w:szCs w:val="19"/>
              </w:rPr>
              <w:t xml:space="preserve">Win Rate</w:t>
            </w:r>
          </w:p>
        </w:tc>
        <w:tc>
          <w:tcPr>
            <w:tcBorders>
              <w:top w:val="single" w:color="05192A" w:sz="4"/>
              <w:left w:val="single" w:color="05192A" w:sz="4"/>
              <w:bottom w:val="single" w:color="05192A" w:sz="4"/>
              <w:right w:val="single" w:color="05192A" w:sz="4"/>
            </w:tcBorders>
            <w:shd w:fill="0A2540" w:color="auto" w:val="clear"/>
            <w:tcMar>
              <w:top w:type="dxa" w:w="115"/>
              <w:left w:type="dxa" w:w="144"/>
              <w:bottom w:type="dxa" w:w="115"/>
              <w:right w:type="dxa" w:w="144"/>
            </w:tcMar>
          </w:tcPr>
          <w:p>
            <w:r>
              <w:rPr>
                <w:rFonts w:ascii="Calibri" w:cs="Calibri" w:eastAsia="Calibri" w:hAnsi="Calibri"/>
                <w:b/>
                <w:bCs/>
                <w:color w:val="FFFFFF"/>
                <w:sz w:val="19"/>
                <w:szCs w:val="19"/>
              </w:rPr>
              <w:t xml:space="preserve">Coaching Focus</w:t>
            </w:r>
          </w:p>
        </w:tc>
      </w:tr>
      <w:tr>
        <w:tc>
          <w:tcPr>
            <w:tcBorders>
              <w:top w:val="single" w:color="DDDDDD" w:sz="4"/>
              <w:left w:val="single" w:color="DDDDDD" w:sz="4"/>
              <w:bottom w:val="single" w:color="DDDDDD" w:sz="4"/>
              <w:right w:val="single" w:color="DDDDDD" w:sz="4"/>
            </w:tcBorders>
            <w:tcMar>
              <w:top w:type="dxa" w:w="115"/>
              <w:left w:type="dxa" w:w="144"/>
              <w:bottom w:type="dxa" w:w="115"/>
              <w:right w:type="dxa" w:w="144"/>
            </w:tcMar>
          </w:tcPr>
          <w:p>
            <w:r>
              <w:rPr>
                <w:rFonts w:ascii="Calibri" w:cs="Calibri" w:eastAsia="Calibri" w:hAnsi="Calibri"/>
                <w:color w:val="333333"/>
                <w:sz w:val="19"/>
                <w:szCs w:val="19"/>
              </w:rPr>
              <w:t xml:space="preserve">Rep 1 — Faizal</w:t>
            </w:r>
          </w:p>
        </w:tc>
        <w:tc>
          <w:tcPr>
            <w:tcBorders>
              <w:top w:val="single" w:color="DDDDDD" w:sz="4"/>
              <w:left w:val="single" w:color="DDDDDD" w:sz="4"/>
              <w:bottom w:val="single" w:color="DDDDDD" w:sz="4"/>
              <w:right w:val="single" w:color="DDDDDD" w:sz="4"/>
            </w:tcBorders>
            <w:tcMar>
              <w:top w:type="dxa" w:w="115"/>
              <w:left w:type="dxa" w:w="144"/>
              <w:bottom w:type="dxa" w:w="115"/>
              <w:right w:type="dxa" w:w="144"/>
            </w:tcMar>
          </w:tcPr>
          <w:p>
            <w:r>
              <w:rPr>
                <w:rFonts w:ascii="Calibri" w:cs="Calibri" w:eastAsia="Calibri" w:hAnsi="Calibri"/>
                <w:color w:val="333333"/>
                <w:sz w:val="19"/>
                <w:szCs w:val="19"/>
              </w:rPr>
              <w:t xml:space="preserve">120,000</w:t>
            </w:r>
          </w:p>
        </w:tc>
        <w:tc>
          <w:tcPr>
            <w:tcBorders>
              <w:top w:val="single" w:color="DDDDDD" w:sz="4"/>
              <w:left w:val="single" w:color="DDDDDD" w:sz="4"/>
              <w:bottom w:val="single" w:color="DDDDDD" w:sz="4"/>
              <w:right w:val="single" w:color="DDDDDD" w:sz="4"/>
            </w:tcBorders>
            <w:tcMar>
              <w:top w:type="dxa" w:w="115"/>
              <w:left w:type="dxa" w:w="144"/>
              <w:bottom w:type="dxa" w:w="115"/>
              <w:right w:type="dxa" w:w="144"/>
            </w:tcMar>
          </w:tcPr>
          <w:p>
            <w:r>
              <w:rPr>
                <w:rFonts w:ascii="Calibri" w:cs="Calibri" w:eastAsia="Calibri" w:hAnsi="Calibri"/>
                <w:color w:val="333333"/>
                <w:sz w:val="19"/>
                <w:szCs w:val="19"/>
              </w:rPr>
              <w:t xml:space="preserve">108,400</w:t>
            </w:r>
          </w:p>
        </w:tc>
        <w:tc>
          <w:tcPr>
            <w:tcBorders>
              <w:top w:val="single" w:color="DDDDDD" w:sz="4"/>
              <w:left w:val="single" w:color="DDDDDD" w:sz="4"/>
              <w:bottom w:val="single" w:color="DDDDDD" w:sz="4"/>
              <w:right w:val="single" w:color="DDDDDD" w:sz="4"/>
            </w:tcBorders>
            <w:tcMar>
              <w:top w:type="dxa" w:w="115"/>
              <w:left w:type="dxa" w:w="144"/>
              <w:bottom w:type="dxa" w:w="115"/>
              <w:right w:type="dxa" w:w="144"/>
            </w:tcMar>
          </w:tcPr>
          <w:p>
            <w:r>
              <w:rPr>
                <w:rFonts w:ascii="Calibri" w:cs="Calibri" w:eastAsia="Calibri" w:hAnsi="Calibri"/>
                <w:color w:val="333333"/>
                <w:sz w:val="19"/>
                <w:szCs w:val="19"/>
              </w:rPr>
              <w:t xml:space="preserve">90%</w:t>
            </w:r>
          </w:p>
        </w:tc>
        <w:tc>
          <w:tcPr>
            <w:tcBorders>
              <w:top w:val="single" w:color="DDDDDD" w:sz="4"/>
              <w:left w:val="single" w:color="DDDDDD" w:sz="4"/>
              <w:bottom w:val="single" w:color="DDDDDD" w:sz="4"/>
              <w:right w:val="single" w:color="DDDDDD" w:sz="4"/>
            </w:tcBorders>
            <w:tcMar>
              <w:top w:type="dxa" w:w="115"/>
              <w:left w:type="dxa" w:w="144"/>
              <w:bottom w:type="dxa" w:w="115"/>
              <w:right w:type="dxa" w:w="144"/>
            </w:tcMar>
          </w:tcPr>
          <w:p>
            <w:r>
              <w:rPr>
                <w:rFonts w:ascii="Calibri" w:cs="Calibri" w:eastAsia="Calibri" w:hAnsi="Calibri"/>
                <w:color w:val="333333"/>
                <w:sz w:val="19"/>
                <w:szCs w:val="19"/>
              </w:rPr>
              <w:t xml:space="preserve">36%</w:t>
            </w:r>
          </w:p>
        </w:tc>
        <w:tc>
          <w:tcPr>
            <w:tcBorders>
              <w:top w:val="single" w:color="DDDDDD" w:sz="4"/>
              <w:left w:val="single" w:color="DDDDDD" w:sz="4"/>
              <w:bottom w:val="single" w:color="DDDDDD" w:sz="4"/>
              <w:right w:val="single" w:color="DDDDDD" w:sz="4"/>
            </w:tcBorders>
            <w:tcMar>
              <w:top w:type="dxa" w:w="115"/>
              <w:left w:type="dxa" w:w="144"/>
              <w:bottom w:type="dxa" w:w="115"/>
              <w:right w:type="dxa" w:w="144"/>
            </w:tcMar>
          </w:tcPr>
          <w:p>
            <w:r>
              <w:rPr>
                <w:rFonts w:ascii="Calibri" w:cs="Calibri" w:eastAsia="Calibri" w:hAnsi="Calibri"/>
                <w:color w:val="333333"/>
                <w:sz w:val="19"/>
                <w:szCs w:val="19"/>
              </w:rPr>
              <w:t xml:space="preserve">Prospecting cadence</w:t>
            </w:r>
          </w:p>
        </w:tc>
      </w:tr>
      <w:tr>
        <w:tc>
          <w:tcPr>
            <w:tcBorders>
              <w:top w:val="single" w:color="DDDDDD" w:sz="4"/>
              <w:left w:val="single" w:color="DDDDDD" w:sz="4"/>
              <w:bottom w:val="single" w:color="DDDDDD" w:sz="4"/>
              <w:right w:val="single" w:color="DDDDDD" w:sz="4"/>
            </w:tcBorders>
            <w:tcMar>
              <w:top w:type="dxa" w:w="115"/>
              <w:left w:type="dxa" w:w="144"/>
              <w:bottom w:type="dxa" w:w="115"/>
              <w:right w:type="dxa" w:w="144"/>
            </w:tcMar>
          </w:tcPr>
          <w:p>
            <w:r>
              <w:rPr>
                <w:rFonts w:ascii="Calibri" w:cs="Calibri" w:eastAsia="Calibri" w:hAnsi="Calibri"/>
                <w:color w:val="333333"/>
                <w:sz w:val="19"/>
                <w:szCs w:val="19"/>
              </w:rPr>
              <w:t xml:space="preserve">Rep 2 — Wei Lin</w:t>
            </w:r>
          </w:p>
        </w:tc>
        <w:tc>
          <w:tcPr>
            <w:tcBorders>
              <w:top w:val="single" w:color="DDDDDD" w:sz="4"/>
              <w:left w:val="single" w:color="DDDDDD" w:sz="4"/>
              <w:bottom w:val="single" w:color="DDDDDD" w:sz="4"/>
              <w:right w:val="single" w:color="DDDDDD" w:sz="4"/>
            </w:tcBorders>
            <w:tcMar>
              <w:top w:type="dxa" w:w="115"/>
              <w:left w:type="dxa" w:w="144"/>
              <w:bottom w:type="dxa" w:w="115"/>
              <w:right w:type="dxa" w:w="144"/>
            </w:tcMar>
          </w:tcPr>
          <w:p>
            <w:r>
              <w:rPr>
                <w:rFonts w:ascii="Calibri" w:cs="Calibri" w:eastAsia="Calibri" w:hAnsi="Calibri"/>
                <w:color w:val="333333"/>
                <w:sz w:val="19"/>
                <w:szCs w:val="19"/>
              </w:rPr>
              <w:t xml:space="preserve">120,000</w:t>
            </w:r>
          </w:p>
        </w:tc>
        <w:tc>
          <w:tcPr>
            <w:tcBorders>
              <w:top w:val="single" w:color="DDDDDD" w:sz="4"/>
              <w:left w:val="single" w:color="DDDDDD" w:sz="4"/>
              <w:bottom w:val="single" w:color="DDDDDD" w:sz="4"/>
              <w:right w:val="single" w:color="DDDDDD" w:sz="4"/>
            </w:tcBorders>
            <w:tcMar>
              <w:top w:type="dxa" w:w="115"/>
              <w:left w:type="dxa" w:w="144"/>
              <w:bottom w:type="dxa" w:w="115"/>
              <w:right w:type="dxa" w:w="144"/>
            </w:tcMar>
          </w:tcPr>
          <w:p>
            <w:r>
              <w:rPr>
                <w:rFonts w:ascii="Calibri" w:cs="Calibri" w:eastAsia="Calibri" w:hAnsi="Calibri"/>
                <w:color w:val="333333"/>
                <w:sz w:val="19"/>
                <w:szCs w:val="19"/>
              </w:rPr>
              <w:t xml:space="preserve">102,800</w:t>
            </w:r>
          </w:p>
        </w:tc>
        <w:tc>
          <w:tcPr>
            <w:tcBorders>
              <w:top w:val="single" w:color="DDDDDD" w:sz="4"/>
              <w:left w:val="single" w:color="DDDDDD" w:sz="4"/>
              <w:bottom w:val="single" w:color="DDDDDD" w:sz="4"/>
              <w:right w:val="single" w:color="DDDDDD" w:sz="4"/>
            </w:tcBorders>
            <w:tcMar>
              <w:top w:type="dxa" w:w="115"/>
              <w:left w:type="dxa" w:w="144"/>
              <w:bottom w:type="dxa" w:w="115"/>
              <w:right w:type="dxa" w:w="144"/>
            </w:tcMar>
          </w:tcPr>
          <w:p>
            <w:r>
              <w:rPr>
                <w:rFonts w:ascii="Calibri" w:cs="Calibri" w:eastAsia="Calibri" w:hAnsi="Calibri"/>
                <w:color w:val="333333"/>
                <w:sz w:val="19"/>
                <w:szCs w:val="19"/>
              </w:rPr>
              <w:t xml:space="preserve">86%</w:t>
            </w:r>
          </w:p>
        </w:tc>
        <w:tc>
          <w:tcPr>
            <w:tcBorders>
              <w:top w:val="single" w:color="DDDDDD" w:sz="4"/>
              <w:left w:val="single" w:color="DDDDDD" w:sz="4"/>
              <w:bottom w:val="single" w:color="DDDDDD" w:sz="4"/>
              <w:right w:val="single" w:color="DDDDDD" w:sz="4"/>
            </w:tcBorders>
            <w:tcMar>
              <w:top w:type="dxa" w:w="115"/>
              <w:left w:type="dxa" w:w="144"/>
              <w:bottom w:type="dxa" w:w="115"/>
              <w:right w:type="dxa" w:w="144"/>
            </w:tcMar>
          </w:tcPr>
          <w:p>
            <w:r>
              <w:rPr>
                <w:rFonts w:ascii="Calibri" w:cs="Calibri" w:eastAsia="Calibri" w:hAnsi="Calibri"/>
                <w:color w:val="333333"/>
                <w:sz w:val="19"/>
                <w:szCs w:val="19"/>
              </w:rPr>
              <w:t xml:space="preserve">32%</w:t>
            </w:r>
          </w:p>
        </w:tc>
        <w:tc>
          <w:tcPr>
            <w:tcBorders>
              <w:top w:val="single" w:color="DDDDDD" w:sz="4"/>
              <w:left w:val="single" w:color="DDDDDD" w:sz="4"/>
              <w:bottom w:val="single" w:color="DDDDDD" w:sz="4"/>
              <w:right w:val="single" w:color="DDDDDD" w:sz="4"/>
            </w:tcBorders>
            <w:tcMar>
              <w:top w:type="dxa" w:w="115"/>
              <w:left w:type="dxa" w:w="144"/>
              <w:bottom w:type="dxa" w:w="115"/>
              <w:right w:type="dxa" w:w="144"/>
            </w:tcMar>
          </w:tcPr>
          <w:p>
            <w:r>
              <w:rPr>
                <w:rFonts w:ascii="Calibri" w:cs="Calibri" w:eastAsia="Calibri" w:hAnsi="Calibri"/>
                <w:color w:val="333333"/>
                <w:sz w:val="19"/>
                <w:szCs w:val="19"/>
              </w:rPr>
              <w:t xml:space="preserve">Objection handling</w:t>
            </w:r>
          </w:p>
        </w:tc>
      </w:tr>
      <w:tr>
        <w:tc>
          <w:tcPr>
            <w:tcBorders>
              <w:top w:val="single" w:color="DDDDDD" w:sz="4"/>
              <w:left w:val="single" w:color="DDDDDD" w:sz="4"/>
              <w:bottom w:val="single" w:color="DDDDDD" w:sz="4"/>
              <w:right w:val="single" w:color="DDDDDD" w:sz="4"/>
            </w:tcBorders>
            <w:tcMar>
              <w:top w:type="dxa" w:w="115"/>
              <w:left w:type="dxa" w:w="144"/>
              <w:bottom w:type="dxa" w:w="115"/>
              <w:right w:type="dxa" w:w="144"/>
            </w:tcMar>
          </w:tcPr>
          <w:p>
            <w:r>
              <w:rPr>
                <w:rFonts w:ascii="Calibri" w:cs="Calibri" w:eastAsia="Calibri" w:hAnsi="Calibri"/>
                <w:color w:val="333333"/>
                <w:sz w:val="19"/>
                <w:szCs w:val="19"/>
              </w:rPr>
              <w:t xml:space="preserve">Rep 3 — Nurul</w:t>
            </w:r>
          </w:p>
        </w:tc>
        <w:tc>
          <w:tcPr>
            <w:tcBorders>
              <w:top w:val="single" w:color="DDDDDD" w:sz="4"/>
              <w:left w:val="single" w:color="DDDDDD" w:sz="4"/>
              <w:bottom w:val="single" w:color="DDDDDD" w:sz="4"/>
              <w:right w:val="single" w:color="DDDDDD" w:sz="4"/>
            </w:tcBorders>
            <w:tcMar>
              <w:top w:type="dxa" w:w="115"/>
              <w:left w:type="dxa" w:w="144"/>
              <w:bottom w:type="dxa" w:w="115"/>
              <w:right w:type="dxa" w:w="144"/>
            </w:tcMar>
          </w:tcPr>
          <w:p>
            <w:r>
              <w:rPr>
                <w:rFonts w:ascii="Calibri" w:cs="Calibri" w:eastAsia="Calibri" w:hAnsi="Calibri"/>
                <w:color w:val="333333"/>
                <w:sz w:val="19"/>
                <w:szCs w:val="19"/>
              </w:rPr>
              <w:t xml:space="preserve">120,000</w:t>
            </w:r>
          </w:p>
        </w:tc>
        <w:tc>
          <w:tcPr>
            <w:tcBorders>
              <w:top w:val="single" w:color="DDDDDD" w:sz="4"/>
              <w:left w:val="single" w:color="DDDDDD" w:sz="4"/>
              <w:bottom w:val="single" w:color="DDDDDD" w:sz="4"/>
              <w:right w:val="single" w:color="DDDDDD" w:sz="4"/>
            </w:tcBorders>
            <w:tcMar>
              <w:top w:type="dxa" w:w="115"/>
              <w:left w:type="dxa" w:w="144"/>
              <w:bottom w:type="dxa" w:w="115"/>
              <w:right w:type="dxa" w:w="144"/>
            </w:tcMar>
          </w:tcPr>
          <w:p>
            <w:r>
              <w:rPr>
                <w:rFonts w:ascii="Calibri" w:cs="Calibri" w:eastAsia="Calibri" w:hAnsi="Calibri"/>
                <w:color w:val="333333"/>
                <w:sz w:val="19"/>
                <w:szCs w:val="19"/>
              </w:rPr>
              <w:t xml:space="preserve">110,600</w:t>
            </w:r>
          </w:p>
        </w:tc>
        <w:tc>
          <w:tcPr>
            <w:tcBorders>
              <w:top w:val="single" w:color="DDDDDD" w:sz="4"/>
              <w:left w:val="single" w:color="DDDDDD" w:sz="4"/>
              <w:bottom w:val="single" w:color="DDDDDD" w:sz="4"/>
              <w:right w:val="single" w:color="DDDDDD" w:sz="4"/>
            </w:tcBorders>
            <w:tcMar>
              <w:top w:type="dxa" w:w="115"/>
              <w:left w:type="dxa" w:w="144"/>
              <w:bottom w:type="dxa" w:w="115"/>
              <w:right w:type="dxa" w:w="144"/>
            </w:tcMar>
          </w:tcPr>
          <w:p>
            <w:r>
              <w:rPr>
                <w:rFonts w:ascii="Calibri" w:cs="Calibri" w:eastAsia="Calibri" w:hAnsi="Calibri"/>
                <w:color w:val="333333"/>
                <w:sz w:val="19"/>
                <w:szCs w:val="19"/>
              </w:rPr>
              <w:t xml:space="preserve">92%</w:t>
            </w:r>
          </w:p>
        </w:tc>
        <w:tc>
          <w:tcPr>
            <w:tcBorders>
              <w:top w:val="single" w:color="DDDDDD" w:sz="4"/>
              <w:left w:val="single" w:color="DDDDDD" w:sz="4"/>
              <w:bottom w:val="single" w:color="DDDDDD" w:sz="4"/>
              <w:right w:val="single" w:color="DDDDDD" w:sz="4"/>
            </w:tcBorders>
            <w:tcMar>
              <w:top w:type="dxa" w:w="115"/>
              <w:left w:type="dxa" w:w="144"/>
              <w:bottom w:type="dxa" w:w="115"/>
              <w:right w:type="dxa" w:w="144"/>
            </w:tcMar>
          </w:tcPr>
          <w:p>
            <w:r>
              <w:rPr>
                <w:rFonts w:ascii="Calibri" w:cs="Calibri" w:eastAsia="Calibri" w:hAnsi="Calibri"/>
                <w:color w:val="333333"/>
                <w:sz w:val="19"/>
                <w:szCs w:val="19"/>
              </w:rPr>
              <w:t xml:space="preserve">38%</w:t>
            </w:r>
          </w:p>
        </w:tc>
        <w:tc>
          <w:tcPr>
            <w:tcBorders>
              <w:top w:val="single" w:color="DDDDDD" w:sz="4"/>
              <w:left w:val="single" w:color="DDDDDD" w:sz="4"/>
              <w:bottom w:val="single" w:color="DDDDDD" w:sz="4"/>
              <w:right w:val="single" w:color="DDDDDD" w:sz="4"/>
            </w:tcBorders>
            <w:tcMar>
              <w:top w:type="dxa" w:w="115"/>
              <w:left w:type="dxa" w:w="144"/>
              <w:bottom w:type="dxa" w:w="115"/>
              <w:right w:type="dxa" w:w="144"/>
            </w:tcMar>
          </w:tcPr>
          <w:p>
            <w:r>
              <w:rPr>
                <w:rFonts w:ascii="Calibri" w:cs="Calibri" w:eastAsia="Calibri" w:hAnsi="Calibri"/>
                <w:color w:val="333333"/>
                <w:sz w:val="19"/>
                <w:szCs w:val="19"/>
              </w:rPr>
              <w:t xml:space="preserve">Negotiation (graduated)</w:t>
            </w:r>
          </w:p>
        </w:tc>
      </w:tr>
      <w:tr>
        <w:tc>
          <w:tcPr>
            <w:tcBorders>
              <w:top w:val="single" w:color="DDDDDD" w:sz="4"/>
              <w:left w:val="single" w:color="DDDDDD" w:sz="4"/>
              <w:bottom w:val="single" w:color="DDDDDD" w:sz="4"/>
              <w:right w:val="single" w:color="DDDDDD" w:sz="4"/>
            </w:tcBorders>
            <w:tcMar>
              <w:top w:type="dxa" w:w="115"/>
              <w:left w:type="dxa" w:w="144"/>
              <w:bottom w:type="dxa" w:w="115"/>
              <w:right w:type="dxa" w:w="144"/>
            </w:tcMar>
          </w:tcPr>
          <w:p>
            <w:r>
              <w:rPr>
                <w:rFonts w:ascii="Calibri" w:cs="Calibri" w:eastAsia="Calibri" w:hAnsi="Calibri"/>
                <w:color w:val="333333"/>
                <w:sz w:val="19"/>
                <w:szCs w:val="19"/>
              </w:rPr>
              <w:t xml:space="preserve">Rep 4 — Darren</w:t>
            </w:r>
          </w:p>
        </w:tc>
        <w:tc>
          <w:tcPr>
            <w:tcBorders>
              <w:top w:val="single" w:color="DDDDDD" w:sz="4"/>
              <w:left w:val="single" w:color="DDDDDD" w:sz="4"/>
              <w:bottom w:val="single" w:color="DDDDDD" w:sz="4"/>
              <w:right w:val="single" w:color="DDDDDD" w:sz="4"/>
            </w:tcBorders>
            <w:tcMar>
              <w:top w:type="dxa" w:w="115"/>
              <w:left w:type="dxa" w:w="144"/>
              <w:bottom w:type="dxa" w:w="115"/>
              <w:right w:type="dxa" w:w="144"/>
            </w:tcMar>
          </w:tcPr>
          <w:p>
            <w:r>
              <w:rPr>
                <w:rFonts w:ascii="Calibri" w:cs="Calibri" w:eastAsia="Calibri" w:hAnsi="Calibri"/>
                <w:color w:val="333333"/>
                <w:sz w:val="19"/>
                <w:szCs w:val="19"/>
              </w:rPr>
              <w:t xml:space="preserve">120,000</w:t>
            </w:r>
          </w:p>
        </w:tc>
        <w:tc>
          <w:tcPr>
            <w:tcBorders>
              <w:top w:val="single" w:color="DDDDDD" w:sz="4"/>
              <w:left w:val="single" w:color="DDDDDD" w:sz="4"/>
              <w:bottom w:val="single" w:color="DDDDDD" w:sz="4"/>
              <w:right w:val="single" w:color="DDDDDD" w:sz="4"/>
            </w:tcBorders>
            <w:tcMar>
              <w:top w:type="dxa" w:w="115"/>
              <w:left w:type="dxa" w:w="144"/>
              <w:bottom w:type="dxa" w:w="115"/>
              <w:right w:type="dxa" w:w="144"/>
            </w:tcMar>
          </w:tcPr>
          <w:p>
            <w:r>
              <w:rPr>
                <w:rFonts w:ascii="Calibri" w:cs="Calibri" w:eastAsia="Calibri" w:hAnsi="Calibri"/>
                <w:color w:val="333333"/>
                <w:sz w:val="19"/>
                <w:szCs w:val="19"/>
              </w:rPr>
              <w:t xml:space="preserve">96,200</w:t>
            </w:r>
          </w:p>
        </w:tc>
        <w:tc>
          <w:tcPr>
            <w:tcBorders>
              <w:top w:val="single" w:color="DDDDDD" w:sz="4"/>
              <w:left w:val="single" w:color="DDDDDD" w:sz="4"/>
              <w:bottom w:val="single" w:color="DDDDDD" w:sz="4"/>
              <w:right w:val="single" w:color="DDDDDD" w:sz="4"/>
            </w:tcBorders>
            <w:tcMar>
              <w:top w:type="dxa" w:w="115"/>
              <w:left w:type="dxa" w:w="144"/>
              <w:bottom w:type="dxa" w:w="115"/>
              <w:right w:type="dxa" w:w="144"/>
            </w:tcMar>
          </w:tcPr>
          <w:p>
            <w:r>
              <w:rPr>
                <w:rFonts w:ascii="Calibri" w:cs="Calibri" w:eastAsia="Calibri" w:hAnsi="Calibri"/>
                <w:color w:val="333333"/>
                <w:sz w:val="19"/>
                <w:szCs w:val="19"/>
              </w:rPr>
              <w:t xml:space="preserve">80%</w:t>
            </w:r>
          </w:p>
        </w:tc>
        <w:tc>
          <w:tcPr>
            <w:tcBorders>
              <w:top w:val="single" w:color="DDDDDD" w:sz="4"/>
              <w:left w:val="single" w:color="DDDDDD" w:sz="4"/>
              <w:bottom w:val="single" w:color="DDDDDD" w:sz="4"/>
              <w:right w:val="single" w:color="DDDDDD" w:sz="4"/>
            </w:tcBorders>
            <w:tcMar>
              <w:top w:type="dxa" w:w="115"/>
              <w:left w:type="dxa" w:w="144"/>
              <w:bottom w:type="dxa" w:w="115"/>
              <w:right w:type="dxa" w:w="144"/>
            </w:tcMar>
          </w:tcPr>
          <w:p>
            <w:r>
              <w:rPr>
                <w:rFonts w:ascii="Calibri" w:cs="Calibri" w:eastAsia="Calibri" w:hAnsi="Calibri"/>
                <w:color w:val="333333"/>
                <w:sz w:val="19"/>
                <w:szCs w:val="19"/>
              </w:rPr>
              <w:t xml:space="preserve">31%</w:t>
            </w:r>
          </w:p>
        </w:tc>
        <w:tc>
          <w:tcPr>
            <w:tcBorders>
              <w:top w:val="single" w:color="DDDDDD" w:sz="4"/>
              <w:left w:val="single" w:color="DDDDDD" w:sz="4"/>
              <w:bottom w:val="single" w:color="DDDDDD" w:sz="4"/>
              <w:right w:val="single" w:color="DDDDDD" w:sz="4"/>
            </w:tcBorders>
            <w:tcMar>
              <w:top w:type="dxa" w:w="115"/>
              <w:left w:type="dxa" w:w="144"/>
              <w:bottom w:type="dxa" w:w="115"/>
              <w:right w:type="dxa" w:w="144"/>
            </w:tcMar>
          </w:tcPr>
          <w:p>
            <w:r>
              <w:rPr>
                <w:rFonts w:ascii="Calibri" w:cs="Calibri" w:eastAsia="Calibri" w:hAnsi="Calibri"/>
                <w:color w:val="333333"/>
                <w:sz w:val="19"/>
                <w:szCs w:val="19"/>
              </w:rPr>
              <w:t xml:space="preserve">Proposal quality</w:t>
            </w:r>
          </w:p>
        </w:tc>
      </w:tr>
      <w:tr>
        <w:tc>
          <w:tcPr>
            <w:tcBorders>
              <w:top w:val="single" w:color="DDDDDD" w:sz="4"/>
              <w:left w:val="single" w:color="DDDDDD" w:sz="4"/>
              <w:bottom w:val="single" w:color="DDDDDD" w:sz="4"/>
              <w:right w:val="single" w:color="DDDDDD" w:sz="4"/>
            </w:tcBorders>
            <w:tcMar>
              <w:top w:type="dxa" w:w="115"/>
              <w:left w:type="dxa" w:w="144"/>
              <w:bottom w:type="dxa" w:w="115"/>
              <w:right w:type="dxa" w:w="144"/>
            </w:tcMar>
          </w:tcPr>
          <w:p>
            <w:r>
              <w:rPr>
                <w:rFonts w:ascii="Calibri" w:cs="Calibri" w:eastAsia="Calibri" w:hAnsi="Calibri"/>
                <w:color w:val="333333"/>
                <w:sz w:val="19"/>
                <w:szCs w:val="19"/>
              </w:rPr>
              <w:t xml:space="preserve">Team Total</w:t>
            </w:r>
          </w:p>
        </w:tc>
        <w:tc>
          <w:tcPr>
            <w:tcBorders>
              <w:top w:val="single" w:color="DDDDDD" w:sz="4"/>
              <w:left w:val="single" w:color="DDDDDD" w:sz="4"/>
              <w:bottom w:val="single" w:color="DDDDDD" w:sz="4"/>
              <w:right w:val="single" w:color="DDDDDD" w:sz="4"/>
            </w:tcBorders>
            <w:tcMar>
              <w:top w:type="dxa" w:w="115"/>
              <w:left w:type="dxa" w:w="144"/>
              <w:bottom w:type="dxa" w:w="115"/>
              <w:right w:type="dxa" w:w="144"/>
            </w:tcMar>
          </w:tcPr>
          <w:p>
            <w:r>
              <w:rPr>
                <w:rFonts w:ascii="Calibri" w:cs="Calibri" w:eastAsia="Calibri" w:hAnsi="Calibri"/>
                <w:color w:val="333333"/>
                <w:sz w:val="19"/>
                <w:szCs w:val="19"/>
              </w:rPr>
              <w:t xml:space="preserve">480,000</w:t>
            </w:r>
          </w:p>
        </w:tc>
        <w:tc>
          <w:tcPr>
            <w:tcBorders>
              <w:top w:val="single" w:color="DDDDDD" w:sz="4"/>
              <w:left w:val="single" w:color="DDDDDD" w:sz="4"/>
              <w:bottom w:val="single" w:color="DDDDDD" w:sz="4"/>
              <w:right w:val="single" w:color="DDDDDD" w:sz="4"/>
            </w:tcBorders>
            <w:tcMar>
              <w:top w:type="dxa" w:w="115"/>
              <w:left w:type="dxa" w:w="144"/>
              <w:bottom w:type="dxa" w:w="115"/>
              <w:right w:type="dxa" w:w="144"/>
            </w:tcMar>
          </w:tcPr>
          <w:p>
            <w:r>
              <w:rPr>
                <w:rFonts w:ascii="Calibri" w:cs="Calibri" w:eastAsia="Calibri" w:hAnsi="Calibri"/>
                <w:color w:val="333333"/>
                <w:sz w:val="19"/>
                <w:szCs w:val="19"/>
              </w:rPr>
              <w:t xml:space="preserve">418,000</w:t>
            </w:r>
          </w:p>
        </w:tc>
        <w:tc>
          <w:tcPr>
            <w:tcBorders>
              <w:top w:val="single" w:color="DDDDDD" w:sz="4"/>
              <w:left w:val="single" w:color="DDDDDD" w:sz="4"/>
              <w:bottom w:val="single" w:color="DDDDDD" w:sz="4"/>
              <w:right w:val="single" w:color="DDDDDD" w:sz="4"/>
            </w:tcBorders>
            <w:tcMar>
              <w:top w:type="dxa" w:w="115"/>
              <w:left w:type="dxa" w:w="144"/>
              <w:bottom w:type="dxa" w:w="115"/>
              <w:right w:type="dxa" w:w="144"/>
            </w:tcMar>
          </w:tcPr>
          <w:p>
            <w:r>
              <w:rPr>
                <w:rFonts w:ascii="Calibri" w:cs="Calibri" w:eastAsia="Calibri" w:hAnsi="Calibri"/>
                <w:color w:val="333333"/>
                <w:sz w:val="19"/>
                <w:szCs w:val="19"/>
              </w:rPr>
              <w:t xml:space="preserve">87%</w:t>
            </w:r>
          </w:p>
        </w:tc>
        <w:tc>
          <w:tcPr>
            <w:tcBorders>
              <w:top w:val="single" w:color="DDDDDD" w:sz="4"/>
              <w:left w:val="single" w:color="DDDDDD" w:sz="4"/>
              <w:bottom w:val="single" w:color="DDDDDD" w:sz="4"/>
              <w:right w:val="single" w:color="DDDDDD" w:sz="4"/>
            </w:tcBorders>
            <w:tcMar>
              <w:top w:type="dxa" w:w="115"/>
              <w:left w:type="dxa" w:w="144"/>
              <w:bottom w:type="dxa" w:w="115"/>
              <w:right w:type="dxa" w:w="144"/>
            </w:tcMar>
          </w:tcPr>
          <w:p>
            <w:r>
              <w:rPr>
                <w:rFonts w:ascii="Calibri" w:cs="Calibri" w:eastAsia="Calibri" w:hAnsi="Calibri"/>
                <w:color w:val="333333"/>
                <w:sz w:val="19"/>
                <w:szCs w:val="19"/>
              </w:rPr>
              <w:t xml:space="preserve">34% avg</w:t>
            </w:r>
          </w:p>
        </w:tc>
        <w:tc>
          <w:tcPr>
            <w:tcBorders>
              <w:top w:val="single" w:color="DDDDDD" w:sz="4"/>
              <w:left w:val="single" w:color="DDDDDD" w:sz="4"/>
              <w:bottom w:val="single" w:color="DDDDDD" w:sz="4"/>
              <w:right w:val="single" w:color="DDDDDD" w:sz="4"/>
            </w:tcBorders>
            <w:tcMar>
              <w:top w:type="dxa" w:w="115"/>
              <w:left w:type="dxa" w:w="144"/>
              <w:bottom w:type="dxa" w:w="115"/>
              <w:right w:type="dxa" w:w="144"/>
            </w:tcMar>
          </w:tcPr>
          <w:p>
            <w:r>
              <w:rPr>
                <w:rFonts w:ascii="Calibri" w:cs="Calibri" w:eastAsia="Calibri" w:hAnsi="Calibri"/>
                <w:color w:val="333333"/>
                <w:sz w:val="19"/>
                <w:szCs w:val="19"/>
              </w:rPr>
              <w:t xml:space="preserve">—</w:t>
            </w:r>
          </w:p>
        </w:tc>
      </w:tr>
    </w:tbl>
    <w:p>
      <w:pPr>
        <w:spacing w:after="80"/>
      </w:pPr>
      <w:r>
        <w:rPr>
          <w:rFonts w:ascii="Calibri" w:cs="Calibri" w:eastAsia="Calibri" w:hAnsi="Calibri"/>
          <w:sz w:val="4"/>
          <w:szCs w:val="4"/>
        </w:rPr>
        <w:t xml:space="preserve"> </w:t>
      </w:r>
    </w:p>
    <w:p>
      <w:pPr>
        <w:spacing w:after="40"/>
      </w:pPr>
      <w:r>
        <w:rPr>
          <w:rFonts w:ascii="Calibri" w:cs="Calibri" w:eastAsia="Calibri" w:hAnsi="Calibri"/>
          <w:sz w:val="4"/>
          <w:szCs w:val="4"/>
        </w:rPr>
        <w:t xml:space="preserve"> </w:t>
      </w:r>
    </w:p>
    <w:p>
      <w:pPr>
        <w:pBdr>
          <w:bottom w:val="single" w:color="DC2626" w:sz="4"/>
        </w:pBdr>
        <w:spacing w:after="100" w:before="320"/>
      </w:pPr>
      <w:r>
        <w:rPr>
          <w:rFonts w:ascii="Calibri" w:cs="Calibri" w:eastAsia="Calibri" w:hAnsi="Calibri"/>
          <w:b/>
          <w:bCs/>
          <w:color w:val="0A2540"/>
          <w:sz w:val="26"/>
          <w:szCs w:val="26"/>
        </w:rPr>
        <w:t xml:space="preserve">Before vs After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color="E0C0C0" w:sz="4"/>
              <w:left w:val="single" w:color="E0C0C0" w:sz="4"/>
              <w:bottom w:val="single" w:color="E0C0C0" w:sz="4"/>
              <w:right w:val="single" w:color="E0C0C0" w:sz="4"/>
            </w:tcBorders>
            <w:shd w:fill="FFF5F5" w:color="auto" w:val="clear"/>
            <w:tcMar>
              <w:top w:type="dxa" w:w="144"/>
              <w:left w:type="dxa" w:w="172"/>
              <w:bottom w:type="dxa" w:w="144"/>
              <w:right w:type="dxa" w:w="172"/>
            </w:tcMar>
          </w:tcPr>
          <w:p>
            <w:pPr>
              <w:spacing w:after="100"/>
            </w:pPr>
            <w:r>
              <w:rPr>
                <w:rFonts w:ascii="Calibri" w:cs="Calibri" w:eastAsia="Calibri" w:hAnsi="Calibri"/>
                <w:b/>
                <w:bCs/>
                <w:color w:val="DC2626"/>
                <w:sz w:val="22"/>
                <w:szCs w:val="22"/>
              </w:rPr>
              <w:t xml:space="preserve">Before</w:t>
            </w:r>
          </w:p>
          <w:p>
            <w:pPr>
              <w:spacing w:after="60"/>
            </w:pPr>
            <w:r>
              <w:rPr>
                <w:rFonts w:ascii="Calibri" w:cs="Calibri" w:eastAsia="Calibri" w:hAnsi="Calibri"/>
                <w:color w:val="333333"/>
                <w:sz w:val="21"/>
                <w:szCs w:val="21"/>
              </w:rPr>
              <w:t xml:space="preserve">Team Quota Attainment: 61%</w:t>
            </w:r>
          </w:p>
          <w:p>
            <w:pPr>
              <w:spacing w:after="60"/>
            </w:pPr>
            <w:r>
              <w:rPr>
                <w:rFonts w:ascii="Calibri" w:cs="Calibri" w:eastAsia="Calibri" w:hAnsi="Calibri"/>
                <w:color w:val="333333"/>
                <w:sz w:val="21"/>
                <w:szCs w:val="21"/>
              </w:rPr>
              <w:t xml:space="preserve">Forecast Accuracy: ±35%</w:t>
            </w:r>
          </w:p>
          <w:p>
            <w:pPr>
              <w:spacing w:after="60"/>
            </w:pPr>
            <w:r>
              <w:rPr>
                <w:rFonts w:ascii="Calibri" w:cs="Calibri" w:eastAsia="Calibri" w:hAnsi="Calibri"/>
                <w:color w:val="333333"/>
                <w:sz w:val="21"/>
                <w:szCs w:val="21"/>
              </w:rPr>
              <w:t xml:space="preserve">Weekly 1:1 Coaching: None</w:t>
            </w:r>
          </w:p>
          <w:p>
            <w:pPr>
              <w:spacing w:after="60"/>
            </w:pPr>
            <w:r>
              <w:rPr>
                <w:rFonts w:ascii="Calibri" w:cs="Calibri" w:eastAsia="Calibri" w:hAnsi="Calibri"/>
                <w:color w:val="333333"/>
                <w:sz w:val="21"/>
                <w:szCs w:val="21"/>
              </w:rPr>
              <w:t xml:space="preserve">KPI Dashboard: None</w:t>
            </w:r>
          </w:p>
          <w:p>
            <w:pPr>
              <w:spacing w:after="60"/>
            </w:pPr>
            <w:r>
              <w:rPr>
                <w:rFonts w:ascii="Calibri" w:cs="Calibri" w:eastAsia="Calibri" w:hAnsi="Calibri"/>
                <w:color w:val="333333"/>
                <w:sz w:val="21"/>
                <w:szCs w:val="21"/>
              </w:rPr>
              <w:t xml:space="preserve">Junior Rep Win Rate: 18–22%</w:t>
            </w:r>
          </w:p>
          <w:p>
            <w:pPr>
              <w:spacing w:after="60"/>
            </w:pPr>
            <w:r>
              <w:rPr>
                <w:rFonts w:ascii="Calibri" w:cs="Calibri" w:eastAsia="Calibri" w:hAnsi="Calibri"/>
                <w:color w:val="333333"/>
                <w:sz w:val="21"/>
                <w:szCs w:val="21"/>
              </w:rPr>
              <w:t xml:space="preserve">Post-Deal Reviews: None</w:t>
            </w:r>
          </w:p>
        </w:tc>
        <w:tc>
          <w:tcPr>
            <w:tcW w:type="pct" w:w="50%"/>
            <w:tcBorders>
              <w:top w:val="single" w:color="A8D8B8" w:sz="4"/>
              <w:left w:val="single" w:color="A8D8B8" w:sz="4"/>
              <w:bottom w:val="single" w:color="A8D8B8" w:sz="4"/>
              <w:right w:val="single" w:color="A8D8B8" w:sz="4"/>
            </w:tcBorders>
            <w:shd w:fill="F0FFF4" w:color="auto" w:val="clear"/>
            <w:tcMar>
              <w:top w:type="dxa" w:w="144"/>
              <w:left w:type="dxa" w:w="172"/>
              <w:bottom w:type="dxa" w:w="144"/>
              <w:right w:type="dxa" w:w="172"/>
            </w:tcMar>
          </w:tcPr>
          <w:p>
            <w:pPr>
              <w:spacing w:after="100"/>
            </w:pPr>
            <w:r>
              <w:rPr>
                <w:rFonts w:ascii="Calibri" w:cs="Calibri" w:eastAsia="Calibri" w:hAnsi="Calibri"/>
                <w:b/>
                <w:bCs/>
                <w:color w:val="16A34A"/>
                <w:sz w:val="22"/>
                <w:szCs w:val="22"/>
              </w:rPr>
              <w:t xml:space="preserve">After</w:t>
            </w:r>
          </w:p>
          <w:p>
            <w:pPr>
              <w:spacing w:after="60"/>
            </w:pPr>
            <w:r>
              <w:rPr>
                <w:rFonts w:ascii="Calibri" w:cs="Calibri" w:eastAsia="Calibri" w:hAnsi="Calibri"/>
                <w:color w:val="333333"/>
                <w:sz w:val="21"/>
                <w:szCs w:val="21"/>
              </w:rPr>
              <w:t xml:space="preserve">Team Quota Attainment: 87%</w:t>
            </w:r>
          </w:p>
          <w:p>
            <w:pPr>
              <w:spacing w:after="60"/>
            </w:pPr>
            <w:r>
              <w:rPr>
                <w:rFonts w:ascii="Calibri" w:cs="Calibri" w:eastAsia="Calibri" w:hAnsi="Calibri"/>
                <w:color w:val="333333"/>
                <w:sz w:val="21"/>
                <w:szCs w:val="21"/>
              </w:rPr>
              <w:t xml:space="preserve">Forecast Accuracy: ±4.2%</w:t>
            </w:r>
          </w:p>
          <w:p>
            <w:pPr>
              <w:spacing w:after="60"/>
            </w:pPr>
            <w:r>
              <w:rPr>
                <w:rFonts w:ascii="Calibri" w:cs="Calibri" w:eastAsia="Calibri" w:hAnsi="Calibri"/>
                <w:color w:val="333333"/>
                <w:sz w:val="21"/>
                <w:szCs w:val="21"/>
              </w:rPr>
              <w:t xml:space="preserve">Weekly 1:1 Coaching: 4 reps, every Tuesday</w:t>
            </w:r>
          </w:p>
          <w:p>
            <w:pPr>
              <w:spacing w:after="60"/>
            </w:pPr>
            <w:r>
              <w:rPr>
                <w:rFonts w:ascii="Calibri" w:cs="Calibri" w:eastAsia="Calibri" w:hAnsi="Calibri"/>
                <w:color w:val="333333"/>
                <w:sz w:val="21"/>
                <w:szCs w:val="21"/>
              </w:rPr>
              <w:t xml:space="preserve">KPI Dashboard: Live (Google Sheets)</w:t>
            </w:r>
          </w:p>
          <w:p>
            <w:pPr>
              <w:spacing w:after="60"/>
            </w:pPr>
            <w:r>
              <w:rPr>
                <w:rFonts w:ascii="Calibri" w:cs="Calibri" w:eastAsia="Calibri" w:hAnsi="Calibri"/>
                <w:color w:val="333333"/>
                <w:sz w:val="21"/>
                <w:szCs w:val="21"/>
              </w:rPr>
              <w:t xml:space="preserve">Junior Rep Win Rate: 31–34%</w:t>
            </w:r>
          </w:p>
          <w:p>
            <w:pPr>
              <w:spacing w:after="60"/>
            </w:pPr>
            <w:r>
              <w:rPr>
                <w:rFonts w:ascii="Calibri" w:cs="Calibri" w:eastAsia="Calibri" w:hAnsi="Calibri"/>
                <w:color w:val="333333"/>
                <w:sz w:val="21"/>
                <w:szCs w:val="21"/>
              </w:rPr>
              <w:t xml:space="preserve">Post-Deal Reviews: Monthly (every lost deal)</w:t>
            </w:r>
          </w:p>
        </w:tc>
      </w:tr>
    </w:tbl>
    <w:p>
      <w:pPr>
        <w:spacing w:after="80"/>
      </w:pPr>
      <w:r>
        <w:rPr>
          <w:rFonts w:ascii="Calibri" w:cs="Calibri" w:eastAsia="Calibri" w:hAnsi="Calibri"/>
          <w:sz w:val="4"/>
          <w:szCs w:val="4"/>
        </w:rPr>
        <w:t xml:space="preserve"> </w:t>
      </w:r>
    </w:p>
    <w:p>
      <w:pPr>
        <w:spacing w:after="40"/>
      </w:pPr>
      <w:r>
        <w:rPr>
          <w:rFonts w:ascii="Calibri" w:cs="Calibri" w:eastAsia="Calibri" w:hAnsi="Calibri"/>
          <w:sz w:val="4"/>
          <w:szCs w:val="4"/>
        </w:rPr>
        <w:t xml:space="preserve"> </w:t>
      </w:r>
    </w:p>
    <w:p>
      <w:pPr>
        <w:pBdr>
          <w:bottom w:val="single" w:color="DC2626" w:sz="4"/>
        </w:pBdr>
        <w:spacing w:after="100" w:before="320"/>
      </w:pPr>
      <w:r>
        <w:rPr>
          <w:rFonts w:ascii="Calibri" w:cs="Calibri" w:eastAsia="Calibri" w:hAnsi="Calibri"/>
          <w:b/>
          <w:bCs/>
          <w:color w:val="0A2540"/>
          <w:sz w:val="26"/>
          <w:szCs w:val="26"/>
        </w:rPr>
        <w:t xml:space="preserve">Deliverables Completed</w:t>
      </w:r>
    </w:p>
    <w:p>
      <w:pPr>
        <w:pStyle w:val="ListParagraph"/>
        <w:numPr>
          <w:ilvl w:val="0"/>
          <w:numId w:val="1"/>
        </w:numPr>
        <w:spacing w:after="80"/>
      </w:pPr>
      <w:r>
        <w:rPr>
          <w:rFonts w:ascii="Calibri" w:cs="Calibri" w:eastAsia="Calibri" w:hAnsi="Calibri"/>
          <w:color w:val="7F1D1D"/>
          <w:sz w:val="22"/>
          <w:szCs w:val="22"/>
        </w:rPr>
        <w:t xml:space="preserve">3-month pipeline audit and per-rep KPI baseline</w:t>
      </w:r>
    </w:p>
    <w:p>
      <w:pPr>
        <w:pStyle w:val="ListParagraph"/>
        <w:numPr>
          <w:ilvl w:val="0"/>
          <w:numId w:val="1"/>
        </w:numPr>
        <w:spacing w:after="80"/>
      </w:pPr>
      <w:r>
        <w:rPr>
          <w:rFonts w:ascii="Calibri" w:cs="Calibri" w:eastAsia="Calibri" w:hAnsi="Calibri"/>
          <w:color w:val="7F1D1D"/>
          <w:sz w:val="22"/>
          <w:szCs w:val="22"/>
        </w:rPr>
        <w:t xml:space="preserve">Rep skill gap analysis and individual coaching plan</w:t>
      </w:r>
    </w:p>
    <w:p>
      <w:pPr>
        <w:pStyle w:val="ListParagraph"/>
        <w:numPr>
          <w:ilvl w:val="0"/>
          <w:numId w:val="1"/>
        </w:numPr>
        <w:spacing w:after="80"/>
      </w:pPr>
      <w:r>
        <w:rPr>
          <w:rFonts w:ascii="Calibri" w:cs="Calibri" w:eastAsia="Calibri" w:hAnsi="Calibri"/>
          <w:color w:val="7F1D1D"/>
          <w:sz w:val="22"/>
          <w:szCs w:val="22"/>
        </w:rPr>
        <w:t xml:space="preserve">KPI dashboard: pipeline, demos, closes, win rate, quota % per rep</w:t>
      </w:r>
    </w:p>
    <w:p>
      <w:pPr>
        <w:pStyle w:val="ListParagraph"/>
        <w:numPr>
          <w:ilvl w:val="0"/>
          <w:numId w:val="1"/>
        </w:numPr>
        <w:spacing w:after="80"/>
      </w:pPr>
      <w:r>
        <w:rPr>
          <w:rFonts w:ascii="Calibri" w:cs="Calibri" w:eastAsia="Calibri" w:hAnsi="Calibri"/>
          <w:color w:val="7F1D1D"/>
          <w:sz w:val="22"/>
          <w:szCs w:val="22"/>
        </w:rPr>
        <w:t xml:space="preserve">Weekly 1:1 coaching schedule (4 reps × 30 min, every Tuesday)</w:t>
      </w:r>
    </w:p>
    <w:p>
      <w:pPr>
        <w:pStyle w:val="ListParagraph"/>
        <w:numPr>
          <w:ilvl w:val="0"/>
          <w:numId w:val="1"/>
        </w:numPr>
        <w:spacing w:after="80"/>
      </w:pPr>
      <w:r>
        <w:rPr>
          <w:rFonts w:ascii="Calibri" w:cs="Calibri" w:eastAsia="Calibri" w:hAnsi="Calibri"/>
          <w:color w:val="7F1D1D"/>
          <w:sz w:val="22"/>
          <w:szCs w:val="22"/>
        </w:rPr>
        <w:t xml:space="preserve">Sales coaching playbook (5 skills × 3 exercises each)</w:t>
      </w:r>
    </w:p>
    <w:p>
      <w:pPr>
        <w:pStyle w:val="ListParagraph"/>
        <w:numPr>
          <w:ilvl w:val="0"/>
          <w:numId w:val="1"/>
        </w:numPr>
        <w:spacing w:after="80"/>
      </w:pPr>
      <w:r>
        <w:rPr>
          <w:rFonts w:ascii="Calibri" w:cs="Calibri" w:eastAsia="Calibri" w:hAnsi="Calibri"/>
          <w:color w:val="7F1D1D"/>
          <w:sz w:val="22"/>
          <w:szCs w:val="22"/>
        </w:rPr>
        <w:t xml:space="preserve">Monthly forecast review framework (weighted pipeline model)</w:t>
      </w:r>
    </w:p>
    <w:p>
      <w:pPr>
        <w:pStyle w:val="ListParagraph"/>
        <w:numPr>
          <w:ilvl w:val="0"/>
          <w:numId w:val="1"/>
        </w:numPr>
        <w:spacing w:after="80"/>
      </w:pPr>
      <w:r>
        <w:rPr>
          <w:rFonts w:ascii="Calibri" w:cs="Calibri" w:eastAsia="Calibri" w:hAnsi="Calibri"/>
          <w:color w:val="7F1D1D"/>
          <w:sz w:val="22"/>
          <w:szCs w:val="22"/>
        </w:rPr>
        <w:t xml:space="preserve">Post-deal review template (won and lost)</w:t>
      </w:r>
    </w:p>
    <w:p>
      <w:pPr>
        <w:pStyle w:val="ListParagraph"/>
        <w:numPr>
          <w:ilvl w:val="0"/>
          <w:numId w:val="1"/>
        </w:numPr>
        <w:spacing w:after="80"/>
      </w:pPr>
      <w:r>
        <w:rPr>
          <w:rFonts w:ascii="Calibri" w:cs="Calibri" w:eastAsia="Calibri" w:hAnsi="Calibri"/>
          <w:color w:val="7F1D1D"/>
          <w:sz w:val="22"/>
          <w:szCs w:val="22"/>
        </w:rPr>
        <w:t xml:space="preserve">GM coaching continuity kit (12-week calendar + agendas)</w:t>
      </w:r>
    </w:p>
    <w:p>
      <w:pPr>
        <w:pStyle w:val="ListParagraph"/>
        <w:numPr>
          <w:ilvl w:val="0"/>
          <w:numId w:val="1"/>
        </w:numPr>
        <w:spacing w:after="80"/>
      </w:pPr>
      <w:r>
        <w:rPr>
          <w:rFonts w:ascii="Calibri" w:cs="Calibri" w:eastAsia="Calibri" w:hAnsi="Calibri"/>
          <w:color w:val="7F1D1D"/>
          <w:sz w:val="22"/>
          <w:szCs w:val="22"/>
        </w:rPr>
        <w:t xml:space="preserve">Monthly performance report in Google Slides</w:t>
      </w:r>
    </w:p>
    <w:p>
      <w:pPr>
        <w:pStyle w:val="ListParagraph"/>
        <w:numPr>
          <w:ilvl w:val="0"/>
          <w:numId w:val="1"/>
        </w:numPr>
        <w:spacing w:after="80"/>
      </w:pPr>
      <w:r>
        <w:rPr>
          <w:rFonts w:ascii="Calibri" w:cs="Calibri" w:eastAsia="Calibri" w:hAnsi="Calibri"/>
          <w:color w:val="7F1D1D"/>
          <w:sz w:val="22"/>
          <w:szCs w:val="22"/>
        </w:rPr>
        <w:t xml:space="preserve">Final presentation: team results vs quota and coaching handoff plan</w:t>
      </w:r>
    </w:p>
    <w:p>
      <w:pPr>
        <w:spacing w:after="40"/>
      </w:pPr>
      <w:r>
        <w:rPr>
          <w:rFonts w:ascii="Calibri" w:cs="Calibri" w:eastAsia="Calibri" w:hAnsi="Calibri"/>
          <w:sz w:val="4"/>
          <w:szCs w:val="4"/>
        </w:rPr>
        <w:t xml:space="preserve"> </w:t>
      </w:r>
    </w:p>
    <w:p>
      <w:pPr>
        <w:pBdr>
          <w:bottom w:val="single" w:color="DC2626" w:sz="4"/>
        </w:pBdr>
        <w:spacing w:after="100" w:before="320"/>
      </w:pPr>
      <w:r>
        <w:rPr>
          <w:rFonts w:ascii="Calibri" w:cs="Calibri" w:eastAsia="Calibri" w:hAnsi="Calibri"/>
          <w:b/>
          <w:bCs/>
          <w:color w:val="0A2540"/>
          <w:sz w:val="26"/>
          <w:szCs w:val="26"/>
        </w:rPr>
        <w:t xml:space="preserve">Client Testimonial</w:t>
      </w:r>
    </w:p>
    <w:p>
      <w:pPr>
        <w:pBdr>
          <w:left w:val="thick" w:color="DC2626" w:sz="16"/>
        </w:pBdr>
        <w:shd w:fill="FEF2F2" w:color="auto" w:val="clear"/>
        <w:spacing w:after="80" w:before="140"/>
        <w:ind w:left="431"/>
      </w:pPr>
      <w:r>
        <w:rPr>
          <w:rFonts w:ascii="Calibri" w:cs="Calibri" w:eastAsia="Calibri" w:hAnsi="Calibri"/>
          <w:i/>
          <w:iCs/>
          <w:color w:val="1E293B"/>
          <w:sz w:val="22"/>
          <w:szCs w:val="22"/>
        </w:rPr>
        <w:t xml:space="preserve">"We had four people doing their best without any structure or guidance. TechNext came in, audited the team, identified exactly where each person was losing deals, and coached them week by week. Going from 61% to 87% quota attainment in 90 days is something I wouldn't have thought possible."</w:t>
      </w:r>
    </w:p>
    <w:p>
      <w:pPr>
        <w:spacing w:after="160"/>
        <w:ind w:left="431"/>
      </w:pPr>
      <w:r>
        <w:rPr>
          <w:rFonts w:ascii="Calibri" w:cs="Calibri" w:eastAsia="Calibri" w:hAnsi="Calibri"/>
          <w:b/>
          <w:bCs/>
          <w:color w:val="0A2540"/>
          <w:sz w:val="21"/>
          <w:szCs w:val="21"/>
        </w:rPr>
        <w:t xml:space="preserve">Robert Lim</w:t>
      </w:r>
      <w:r>
        <w:rPr>
          <w:rFonts w:ascii="Calibri" w:cs="Calibri" w:eastAsia="Calibri" w:hAnsi="Calibri"/>
          <w:color w:val="555555"/>
          <w:sz w:val="20"/>
          <w:szCs w:val="20"/>
        </w:rPr>
        <w:t xml:space="preserve">  ·  General Manager, PrimeLine Distribution Sdn Bhd</w:t>
      </w:r>
    </w:p>
    <w:p>
      <w:pPr>
        <w:spacing w:after="40"/>
      </w:pPr>
      <w:r>
        <w:rPr>
          <w:rFonts w:ascii="Calibri" w:cs="Calibri" w:eastAsia="Calibri" w:hAnsi="Calibri"/>
          <w:sz w:val="4"/>
          <w:szCs w:val="4"/>
        </w:rPr>
        <w:t xml:space="preserve"> </w:t>
      </w:r>
    </w:p>
    <w:p>
      <w:pPr>
        <w:spacing w:after="160"/>
      </w:pPr>
      <w:r>
        <w:rPr>
          <w:rFonts w:ascii="Calibri" w:cs="Calibri" w:eastAsia="Calibri" w:hAnsi="Calibri"/>
          <w:sz w:val="4"/>
          <w:szCs w:val="4"/>
        </w:rPr>
        <w:t xml:space="preserve"> </w:t>
      </w:r>
    </w:p>
    <w:p>
      <w:pPr>
        <w:pBdr>
          <w:top w:val="single" w:color="DDDDDD" w:sz="4"/>
        </w:pBdr>
        <w:spacing w:before="80"/>
        <w:jc w:val="center"/>
      </w:pPr>
      <w:r>
        <w:rPr>
          <w:rFonts w:ascii="Calibri" w:cs="Calibri" w:eastAsia="Calibri" w:hAnsi="Calibri"/>
          <w:color w:val="AAAAAA"/>
          <w:sz w:val="18"/>
          <w:szCs w:val="18"/>
        </w:rPr>
        <w:t xml:space="preserve">NextMarketing — Professional Marketing Services by TechNext Asia  |  hello@technext.asia</w:t>
      </w:r>
    </w:p>
    <w:sectPr>
      <w:pgSz w:w="11906" w:h="16838" w:orient="portrait"/>
      <w:pgMar w:top="1440" w:right="1727" w:bottom="1440" w:left="172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2026-05-01T06:54:33.497Z</dcterms:created>
  <dcterms:modified xsi:type="dcterms:W3CDTF">2026-05-01T06:54:33.497Z</dcterms:modified>
</cp:coreProperties>
</file>

<file path=docProps/custom.xml><?xml version="1.0" encoding="utf-8"?>
<Properties xmlns="http://schemas.openxmlformats.org/officeDocument/2006/custom-properties" xmlns:vt="http://schemas.openxmlformats.org/officeDocument/2006/docPropsVTypes"/>
</file>