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Email Marketing · 🟢 Easy Tier · NextMarketing Case Study</w:t>
      </w:r>
    </w:p>
    <w:p>
      <w:pPr>
        <w:spacing w:after="80"/>
      </w:pPr>
      <w:r>
        <w:rPr>
          <w:rFonts w:ascii="Calibri" w:cs="Calibri" w:eastAsia="Calibri" w:hAnsi="Calibri"/>
          <w:b/>
          <w:bCs/>
          <w:color w:val="0A2540"/>
          <w:sz w:val="46"/>
          <w:szCs w:val="46"/>
        </w:rPr>
        <w:t xml:space="preserve">Email Marketing — Starter</w:t>
      </w:r>
    </w:p>
    <w:p>
      <w:pPr>
        <w:spacing w:after="80"/>
      </w:pPr>
      <w:r>
        <w:rPr>
          <w:rFonts w:ascii="Calibri" w:cs="Calibri" w:eastAsia="Calibri" w:hAnsi="Calibri"/>
          <w:i/>
          <w:iCs/>
          <w:color w:val="555555"/>
          <w:sz w:val="22"/>
          <w:szCs w:val="22"/>
        </w:rPr>
        <w:t xml:space="preserve">How a dormant 4,200-contact list was revived to a 42% open rate and generated RM18,000 in revenue from just two campaigns</w:t>
      </w:r>
    </w:p>
    <w:p>
      <w:pPr>
        <w:spacing w:after="80"/>
      </w:pPr>
      <w:r>
        <w:rPr>
          <w:rFonts w:ascii="Calibri" w:cs="Calibri" w:eastAsia="Calibri" w:hAnsi="Calibri"/>
          <w:color w:val="64748B"/>
          <w:sz w:val="20"/>
          <w:szCs w:val="20"/>
        </w:rPr>
        <w:t xml:space="preserve">🏢 ProSkill Academy · Professional Training   |   📅 Jan – Mar 2026 · 3 months   |   📧 4 Campaigns / Month · Brevo   |   📍 Shah Alam, Selangor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42%</w:t>
            </w:r>
          </w:p>
          <w:p>
            <w:pPr>
              <w:jc w:val="center"/>
            </w:pPr>
            <w:r>
              <w:rPr>
                <w:rFonts w:ascii="Calibri" w:cs="Calibri" w:eastAsia="Calibri" w:hAnsi="Calibri"/>
                <w:color w:val="555555"/>
                <w:sz w:val="20"/>
                <w:szCs w:val="20"/>
              </w:rPr>
              <w:t xml:space="preserve">Average Email Open Rate</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12%</w:t>
            </w:r>
          </w:p>
          <w:p>
            <w:pPr>
              <w:jc w:val="center"/>
            </w:pPr>
            <w:r>
              <w:rPr>
                <w:rFonts w:ascii="Calibri" w:cs="Calibri" w:eastAsia="Calibri" w:hAnsi="Calibri"/>
                <w:color w:val="555555"/>
                <w:sz w:val="20"/>
                <w:szCs w:val="20"/>
              </w:rPr>
              <w:t xml:space="preserve">Average Click-Through Rate</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RM18k</w:t>
            </w:r>
          </w:p>
          <w:p>
            <w:pPr>
              <w:jc w:val="center"/>
            </w:pPr>
            <w:r>
              <w:rPr>
                <w:rFonts w:ascii="Calibri" w:cs="Calibri" w:eastAsia="Calibri" w:hAnsi="Calibri"/>
                <w:color w:val="555555"/>
                <w:sz w:val="20"/>
                <w:szCs w:val="20"/>
              </w:rPr>
              <w:t xml:space="preserve">Revenue from 2 Campaigns</w:t>
            </w:r>
          </w:p>
        </w:tc>
      </w:tr>
    </w:tbl>
    <w:p>
      <w:pPr>
        <w:spacing w:after="12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ProSkill Academy offers professional certification programmes in project management, finance, and leadership for working adults in Klang Valley. With over a decade in the training industry, they had accumulated a contact list of 4,200 email addresses — former students, enquiries, and event attendees.</w:t>
      </w:r>
    </w:p>
    <w:p>
      <w:pPr>
        <w:spacing w:after="100"/>
      </w:pPr>
      <w:r>
        <w:rPr>
          <w:rFonts w:ascii="Calibri" w:cs="Calibri" w:eastAsia="Calibri" w:hAnsi="Calibri"/>
          <w:color w:val="333333"/>
          <w:sz w:val="22"/>
          <w:szCs w:val="22"/>
        </w:rPr>
        <w:t xml:space="preserve">Despite this asset sitting in their CRM, the last email campaign sent to the list was 18 months prior. The contacts had gone cold, and the marketing team (2 part-time staff) lacked the tools and templates to restart email marketing effectively.</w:t>
      </w:r>
    </w:p>
    <w:p>
      <w:pPr>
        <w:spacing w:after="100"/>
      </w:pPr>
      <w:r>
        <w:rPr>
          <w:rFonts w:ascii="Calibri" w:cs="Calibri" w:eastAsia="Calibri" w:hAnsi="Calibri"/>
          <w:color w:val="333333"/>
          <w:sz w:val="22"/>
          <w:szCs w:val="22"/>
        </w:rPr>
        <w:t xml:space="preserve">ProSkill Academy offers professional certification programmes in project management, finance, and leadership for working adults in Klang Valley. With over a decade in the training industry, they had accumulated a contact list of 4,200 email addresses — former students, enquiries, and event attendees.</w:t>
      </w:r>
    </w:p>
    <w:p>
      <w:pPr>
        <w:spacing w:after="100"/>
      </w:pPr>
      <w:r>
        <w:rPr>
          <w:rFonts w:ascii="Calibri" w:cs="Calibri" w:eastAsia="Calibri" w:hAnsi="Calibri"/>
          <w:color w:val="333333"/>
          <w:sz w:val="22"/>
          <w:szCs w:val="22"/>
        </w:rPr>
        <w:t xml:space="preserve">Despite this asset sitting in their CRM, the last email campaign sent to the list was 18 months prior. The contacts had gone cold, and the marketing team (2 part-time staff) lacked the tools and templates to restart email marketing effectively.</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4,200 contacts with no email touchpoint in 18 months — high risk of spam flags on restart</w:t>
      </w:r>
    </w:p>
    <w:p>
      <w:pPr>
        <w:pStyle w:val="ListParagraph"/>
        <w:numPr>
          <w:ilvl w:val="0"/>
          <w:numId w:val="1"/>
        </w:numPr>
        <w:spacing w:after="80"/>
      </w:pPr>
      <w:r>
        <w:rPr>
          <w:rFonts w:ascii="Calibri" w:cs="Calibri" w:eastAsia="Calibri" w:hAnsi="Calibri"/>
          <w:color w:val="333333"/>
          <w:sz w:val="22"/>
          <w:szCs w:val="22"/>
        </w:rPr>
        <w:t xml:space="preserve">Previous open rate was 8% — well below the education industry benchmark of 28%</w:t>
      </w:r>
    </w:p>
    <w:p>
      <w:pPr>
        <w:pStyle w:val="ListParagraph"/>
        <w:numPr>
          <w:ilvl w:val="0"/>
          <w:numId w:val="1"/>
        </w:numPr>
        <w:spacing w:after="80"/>
      </w:pPr>
      <w:r>
        <w:rPr>
          <w:rFonts w:ascii="Calibri" w:cs="Calibri" w:eastAsia="Calibri" w:hAnsi="Calibri"/>
          <w:color w:val="333333"/>
          <w:sz w:val="22"/>
          <w:szCs w:val="22"/>
        </w:rPr>
        <w:t xml:space="preserve">No email template — campaigns were plain text with no visual branding</w:t>
      </w:r>
    </w:p>
    <w:p>
      <w:pPr>
        <w:pStyle w:val="ListParagraph"/>
        <w:numPr>
          <w:ilvl w:val="0"/>
          <w:numId w:val="1"/>
        </w:numPr>
        <w:spacing w:after="80"/>
      </w:pPr>
      <w:r>
        <w:rPr>
          <w:rFonts w:ascii="Calibri" w:cs="Calibri" w:eastAsia="Calibri" w:hAnsi="Calibri"/>
          <w:color w:val="333333"/>
          <w:sz w:val="22"/>
          <w:szCs w:val="22"/>
        </w:rPr>
        <w:t xml:space="preserve">No segmentation — all contacts treated identically regardless of course interest or stage</w:t>
      </w:r>
    </w:p>
    <w:p>
      <w:pPr>
        <w:pStyle w:val="ListParagraph"/>
        <w:numPr>
          <w:ilvl w:val="0"/>
          <w:numId w:val="1"/>
        </w:numPr>
        <w:spacing w:after="80"/>
      </w:pPr>
      <w:r>
        <w:rPr>
          <w:rFonts w:ascii="Calibri" w:cs="Calibri" w:eastAsia="Calibri" w:hAnsi="Calibri"/>
          <w:color w:val="333333"/>
          <w:sz w:val="22"/>
          <w:szCs w:val="22"/>
        </w:rPr>
        <w:t xml:space="preserve">No automation — every email was manually composed and sent from a personal Gmail account</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0A2540" w:color="auto" w:val="clear"/>
        </w:rPr>
        <w:t xml:space="preserve">Month 1 · Jan</w:t>
      </w:r>
      <w:r>
        <w:rPr>
          <w:rFonts w:ascii="Calibri" w:cs="Calibri" w:eastAsia="Calibri" w:hAnsi="Calibri"/>
          <w:b/>
          <w:bCs/>
          <w:color w:val="0A2540"/>
          <w:sz w:val="22"/>
          <w:szCs w:val="22"/>
        </w:rPr>
        <w:t xml:space="preserve">   Setup — Platform, Infrastructure &amp; Re-Engagement</w:t>
      </w:r>
    </w:p>
    <w:p>
      <w:pPr>
        <w:pStyle w:val="ListParagraph"/>
        <w:numPr>
          <w:ilvl w:val="0"/>
          <w:numId w:val="1"/>
        </w:numPr>
        <w:spacing w:after="70"/>
        <w:ind w:left="288"/>
      </w:pPr>
      <w:r>
        <w:rPr>
          <w:rFonts w:ascii="Calibri" w:cs="Calibri" w:eastAsia="Calibri" w:hAnsi="Calibri"/>
          <w:color w:val="444444"/>
          <w:sz w:val="21"/>
          <w:szCs w:val="21"/>
        </w:rPr>
        <w:t xml:space="preserve">Migrated the full 4,200-contact list to a professional email platform — cleaning to 3,921 active contacts by removing bounces and duplicates, establishing a clean foundation before any sends were made.</w:t>
      </w:r>
    </w:p>
    <w:p>
      <w:pPr>
        <w:pStyle w:val="ListParagraph"/>
        <w:numPr>
          <w:ilvl w:val="0"/>
          <w:numId w:val="1"/>
        </w:numPr>
        <w:spacing w:after="70"/>
        <w:ind w:left="288"/>
      </w:pPr>
      <w:r>
        <w:rPr>
          <w:rFonts w:ascii="Calibri" w:cs="Calibri" w:eastAsia="Calibri" w:hAnsi="Calibri"/>
          <w:color w:val="444444"/>
          <w:sz w:val="21"/>
          <w:szCs w:val="21"/>
        </w:rPr>
        <w:t xml:space="preserve">Built a fully branded email template and launched the first campaign to the list in 18 months — an A/B-tested re-engagement send designed to identify warm contacts while protecting sender reputation for future campaigns.</w:t>
      </w:r>
    </w:p>
    <w:p>
      <w:pPr>
        <w:pStyle w:val="ListParagraph"/>
        <w:numPr>
          <w:ilvl w:val="0"/>
          <w:numId w:val="1"/>
        </w:numPr>
        <w:spacing w:after="70"/>
        <w:ind w:left="288"/>
      </w:pPr>
      <w:r>
        <w:rPr>
          <w:rFonts w:ascii="Calibri" w:cs="Calibri" w:eastAsia="Calibri" w:hAnsi="Calibri"/>
          <w:color w:val="444444"/>
          <w:sz w:val="21"/>
          <w:szCs w:val="21"/>
        </w:rPr>
        <w:t xml:space="preserve">Set up a 3-email welcome automation for all new opt-ins — ensuring every future subscriber received a structured onboarding journey from their first touchpoint with ProSkill Academy.</w:t>
      </w:r>
    </w:p>
    <w:p>
      <w:pPr>
        <w:spacing w:after="80" w:before="200"/>
      </w:pPr>
      <w:r>
        <w:rPr>
          <w:rFonts w:ascii="Calibri" w:cs="Calibri" w:eastAsia="Calibri" w:hAnsi="Calibri"/>
          <w:b/>
          <w:bCs/>
          <w:color w:val="FFFFFF"/>
          <w:sz w:val="20"/>
          <w:szCs w:val="20"/>
          <w:shd w:fill="0A2540" w:color="auto" w:val="clear"/>
        </w:rPr>
        <w:t xml:space="preserve">Month 2 · Feb</w:t>
      </w:r>
      <w:r>
        <w:rPr>
          <w:rFonts w:ascii="Calibri" w:cs="Calibri" w:eastAsia="Calibri" w:hAnsi="Calibri"/>
          <w:b/>
          <w:bCs/>
          <w:color w:val="0A2540"/>
          <w:sz w:val="22"/>
          <w:szCs w:val="22"/>
        </w:rPr>
        <w:t xml:space="preserve">   Revenue — First Course Promotion Campaign</w:t>
      </w:r>
    </w:p>
    <w:p>
      <w:pPr>
        <w:pStyle w:val="ListParagraph"/>
        <w:numPr>
          <w:ilvl w:val="0"/>
          <w:numId w:val="1"/>
        </w:numPr>
        <w:spacing w:after="70"/>
        <w:ind w:left="288"/>
      </w:pPr>
      <w:r>
        <w:rPr>
          <w:rFonts w:ascii="Calibri" w:cs="Calibri" w:eastAsia="Calibri" w:hAnsi="Calibri"/>
          <w:color w:val="444444"/>
          <w:sz w:val="21"/>
          <w:szCs w:val="21"/>
        </w:rPr>
        <w:t xml:space="preserve">Segmented the 2,840 re-engaged contacts from Month 1 and launched the first promotional campaign — a PMP Certification intake with early-bird pricing and a deadline-driven call to action, achieving a 41% open rate.</w:t>
      </w:r>
    </w:p>
    <w:p>
      <w:pPr>
        <w:pStyle w:val="ListParagraph"/>
        <w:numPr>
          <w:ilvl w:val="0"/>
          <w:numId w:val="1"/>
        </w:numPr>
        <w:spacing w:after="70"/>
        <w:ind w:left="288"/>
      </w:pPr>
      <w:r>
        <w:rPr>
          <w:rFonts w:ascii="Calibri" w:cs="Calibri" w:eastAsia="Calibri" w:hAnsi="Calibri"/>
          <w:color w:val="444444"/>
          <w:sz w:val="21"/>
          <w:szCs w:val="21"/>
        </w:rPr>
        <w:t xml:space="preserve">The PMP campaign generated 24 enrolment enquiries, converting 18 into paid registrations at RM400 each — RM7,200 in directly attributed revenue from a single email send.</w:t>
      </w:r>
    </w:p>
    <w:p>
      <w:pPr>
        <w:pStyle w:val="ListParagraph"/>
        <w:numPr>
          <w:ilvl w:val="0"/>
          <w:numId w:val="1"/>
        </w:numPr>
        <w:spacing w:after="70"/>
        <w:ind w:left="288"/>
      </w:pPr>
      <w:r>
        <w:rPr>
          <w:rFonts w:ascii="Calibri" w:cs="Calibri" w:eastAsia="Calibri" w:hAnsi="Calibri"/>
          <w:color w:val="444444"/>
          <w:sz w:val="21"/>
          <w:szCs w:val="21"/>
        </w:rPr>
        <w:t xml:space="preserve">Sent a relationship-building newsletter between promotions — maintaining list warmth and establishing a sustainable sending cadence that kept the audience engaged without fatigue.</w:t>
      </w:r>
    </w:p>
    <w:p>
      <w:pPr>
        <w:spacing w:after="80" w:before="200"/>
      </w:pPr>
      <w:r>
        <w:rPr>
          <w:rFonts w:ascii="Calibri" w:cs="Calibri" w:eastAsia="Calibri" w:hAnsi="Calibri"/>
          <w:b/>
          <w:bCs/>
          <w:color w:val="FFFFFF"/>
          <w:sz w:val="20"/>
          <w:szCs w:val="20"/>
          <w:shd w:fill="0A2540" w:color="auto" w:val="clear"/>
        </w:rPr>
        <w:t xml:space="preserve">Month 3 · Mar</w:t>
      </w:r>
      <w:r>
        <w:rPr>
          <w:rFonts w:ascii="Calibri" w:cs="Calibri" w:eastAsia="Calibri" w:hAnsi="Calibri"/>
          <w:b/>
          <w:bCs/>
          <w:color w:val="0A2540"/>
          <w:sz w:val="22"/>
          <w:szCs w:val="22"/>
        </w:rPr>
        <w:t xml:space="preserve">   Scale — Second Revenue Campaign &amp; Performance Results</w:t>
      </w:r>
    </w:p>
    <w:p>
      <w:pPr>
        <w:pStyle w:val="ListParagraph"/>
        <w:numPr>
          <w:ilvl w:val="0"/>
          <w:numId w:val="1"/>
        </w:numPr>
        <w:spacing w:after="70"/>
        <w:ind w:left="288"/>
      </w:pPr>
      <w:r>
        <w:rPr>
          <w:rFonts w:ascii="Calibri" w:cs="Calibri" w:eastAsia="Calibri" w:hAnsi="Calibri"/>
          <w:color w:val="444444"/>
          <w:sz w:val="21"/>
          <w:szCs w:val="21"/>
        </w:rPr>
        <w:t xml:space="preserve">Launched the second revenue campaign — a Financial Modelling course promotion targeted to the finance interest segment, applying all learnings from February to sharpen the copy, CTA, and delivery timing.</w:t>
      </w:r>
    </w:p>
    <w:p>
      <w:pPr>
        <w:pStyle w:val="ListParagraph"/>
        <w:numPr>
          <w:ilvl w:val="0"/>
          <w:numId w:val="1"/>
        </w:numPr>
        <w:spacing w:after="70"/>
        <w:ind w:left="288"/>
      </w:pPr>
      <w:r>
        <w:rPr>
          <w:rFonts w:ascii="Calibri" w:cs="Calibri" w:eastAsia="Calibri" w:hAnsi="Calibri"/>
          <w:color w:val="444444"/>
          <w:sz w:val="21"/>
          <w:szCs w:val="21"/>
        </w:rPr>
        <w:t xml:space="preserve">27 enquiries converted to 27 paid registrations — RM10,800 in attributed revenue. Click rate reached 12%, more than double the education industry benchmark of 5–7%.</w:t>
      </w:r>
    </w:p>
    <w:p>
      <w:pPr>
        <w:pStyle w:val="ListParagraph"/>
        <w:numPr>
          <w:ilvl w:val="0"/>
          <w:numId w:val="1"/>
        </w:numPr>
        <w:spacing w:after="70"/>
        <w:ind w:left="288"/>
      </w:pPr>
      <w:r>
        <w:rPr>
          <w:rFonts w:ascii="Calibri" w:cs="Calibri" w:eastAsia="Calibri" w:hAnsi="Calibri"/>
          <w:color w:val="444444"/>
          <w:sz w:val="21"/>
          <w:szCs w:val="21"/>
        </w:rPr>
        <w:t xml:space="preserve">Delivered a full email performance dashboard tracking open rates, CTR, unsubscribes, and revenue per campaign — giving the ProSkill team complete visibility for independent management going forward.</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Campaign-by-Campaign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Campaign</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Type</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Sent</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Open Rate</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Click Rate</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Unsubs</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Revenue</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Pre-Engagement (Dec 2025)</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8%</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1.2%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C1 — Re-Engagement</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Win-back</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3,921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5.8%</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2.1%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C2 — PMP Promo</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Revenue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3,734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41%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9.4%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0.8%</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RM7,200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C3 — Newsletter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Nurture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3,704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38%</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7.1%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0.4%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C4 — Finance Promo</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Revenue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3,689</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42%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12%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0.3%</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RM10,800</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Open Rate Growth — Campaign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Cumulative Followers</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BeforeLast campaign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8%</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C1 Re-Engage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34%</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C2 PMP Promo</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41%</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C4 Finance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42%</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Open rate: 8%</w:t>
            </w:r>
          </w:p>
          <w:p>
            <w:pPr>
              <w:spacing w:after="60"/>
            </w:pPr>
            <w:r>
              <w:rPr>
                <w:rFonts w:ascii="Calibri" w:cs="Calibri" w:eastAsia="Calibri" w:hAnsi="Calibri"/>
                <w:color w:val="333333"/>
                <w:sz w:val="21"/>
                <w:szCs w:val="21"/>
              </w:rPr>
              <w:t xml:space="preserve">Click rate: 1.2%</w:t>
            </w:r>
          </w:p>
          <w:p>
            <w:pPr>
              <w:spacing w:after="60"/>
            </w:pPr>
            <w:r>
              <w:rPr>
                <w:rFonts w:ascii="Calibri" w:cs="Calibri" w:eastAsia="Calibri" w:hAnsi="Calibri"/>
                <w:color w:val="333333"/>
                <w:sz w:val="21"/>
                <w:szCs w:val="21"/>
              </w:rPr>
              <w:t xml:space="preserve">Email tool: Gmail (manual)</w:t>
            </w:r>
          </w:p>
          <w:p>
            <w:pPr>
              <w:spacing w:after="60"/>
            </w:pPr>
            <w:r>
              <w:rPr>
                <w:rFonts w:ascii="Calibri" w:cs="Calibri" w:eastAsia="Calibri" w:hAnsi="Calibri"/>
                <w:color w:val="333333"/>
                <w:sz w:val="21"/>
                <w:szCs w:val="21"/>
              </w:rPr>
              <w:t xml:space="preserve">Segmentation: None</w:t>
            </w:r>
          </w:p>
          <w:p>
            <w:pPr>
              <w:spacing w:after="60"/>
            </w:pPr>
            <w:r>
              <w:rPr>
                <w:rFonts w:ascii="Calibri" w:cs="Calibri" w:eastAsia="Calibri" w:hAnsi="Calibri"/>
                <w:color w:val="333333"/>
                <w:sz w:val="21"/>
                <w:szCs w:val="21"/>
              </w:rPr>
              <w:t xml:space="preserve">Revenue from email: RM0 / month</w:t>
            </w:r>
          </w:p>
          <w:p>
            <w:pPr>
              <w:spacing w:after="60"/>
            </w:pPr>
            <w:r>
              <w:rPr>
                <w:rFonts w:ascii="Calibri" w:cs="Calibri" w:eastAsia="Calibri" w:hAnsi="Calibri"/>
                <w:color w:val="333333"/>
                <w:sz w:val="21"/>
                <w:szCs w:val="21"/>
              </w:rPr>
              <w:t xml:space="preserve">Template: Plain text only</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Open rate: 42% (+425%)</w:t>
            </w:r>
          </w:p>
          <w:p>
            <w:pPr>
              <w:spacing w:after="60"/>
            </w:pPr>
            <w:r>
              <w:rPr>
                <w:rFonts w:ascii="Calibri" w:cs="Calibri" w:eastAsia="Calibri" w:hAnsi="Calibri"/>
                <w:color w:val="333333"/>
                <w:sz w:val="21"/>
                <w:szCs w:val="21"/>
              </w:rPr>
              <w:t xml:space="preserve">Click rate: 12% (+900%)</w:t>
            </w:r>
          </w:p>
          <w:p>
            <w:pPr>
              <w:spacing w:after="60"/>
            </w:pPr>
            <w:r>
              <w:rPr>
                <w:rFonts w:ascii="Calibri" w:cs="Calibri" w:eastAsia="Calibri" w:hAnsi="Calibri"/>
                <w:color w:val="333333"/>
                <w:sz w:val="21"/>
                <w:szCs w:val="21"/>
              </w:rPr>
              <w:t xml:space="preserve">Email tool: Brevo (automated)</w:t>
            </w:r>
          </w:p>
          <w:p>
            <w:pPr>
              <w:spacing w:after="60"/>
            </w:pPr>
            <w:r>
              <w:rPr>
                <w:rFonts w:ascii="Calibri" w:cs="Calibri" w:eastAsia="Calibri" w:hAnsi="Calibri"/>
                <w:color w:val="333333"/>
                <w:sz w:val="21"/>
                <w:szCs w:val="21"/>
              </w:rPr>
              <w:t xml:space="preserve">Segmentation: 3 segments active</w:t>
            </w:r>
          </w:p>
          <w:p>
            <w:pPr>
              <w:spacing w:after="60"/>
            </w:pPr>
            <w:r>
              <w:rPr>
                <w:rFonts w:ascii="Calibri" w:cs="Calibri" w:eastAsia="Calibri" w:hAnsi="Calibri"/>
                <w:color w:val="333333"/>
                <w:sz w:val="21"/>
                <w:szCs w:val="21"/>
              </w:rPr>
              <w:t xml:space="preserve">Revenue from email: RM6,000 avg/month</w:t>
            </w:r>
          </w:p>
          <w:p>
            <w:pPr>
              <w:spacing w:after="60"/>
            </w:pPr>
            <w:r>
              <w:rPr>
                <w:rFonts w:ascii="Calibri" w:cs="Calibri" w:eastAsia="Calibri" w:hAnsi="Calibri"/>
                <w:color w:val="333333"/>
                <w:sz w:val="21"/>
                <w:szCs w:val="21"/>
              </w:rPr>
              <w:t xml:space="preserve">Template: Branded HTML template</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1D4ED8"/>
          <w:sz w:val="22"/>
          <w:szCs w:val="22"/>
        </w:rPr>
        <w:t xml:space="preserve">4 email campaigns sent (1 re-engage, 2 revenue, 1 nurture)</w:t>
      </w:r>
    </w:p>
    <w:p>
      <w:pPr>
        <w:pStyle w:val="ListParagraph"/>
        <w:numPr>
          <w:ilvl w:val="0"/>
          <w:numId w:val="1"/>
        </w:numPr>
        <w:spacing w:after="80"/>
      </w:pPr>
      <w:r>
        <w:rPr>
          <w:rFonts w:ascii="Calibri" w:cs="Calibri" w:eastAsia="Calibri" w:hAnsi="Calibri"/>
          <w:color w:val="1D4ED8"/>
          <w:sz w:val="22"/>
          <w:szCs w:val="22"/>
        </w:rPr>
        <w:t xml:space="preserve">Branded HTML email template (Canva header + Brevo builder)</w:t>
      </w:r>
    </w:p>
    <w:p>
      <w:pPr>
        <w:pStyle w:val="ListParagraph"/>
        <w:numPr>
          <w:ilvl w:val="0"/>
          <w:numId w:val="1"/>
        </w:numPr>
        <w:spacing w:after="80"/>
      </w:pPr>
      <w:r>
        <w:rPr>
          <w:rFonts w:ascii="Calibri" w:cs="Calibri" w:eastAsia="Calibri" w:hAnsi="Calibri"/>
          <w:color w:val="1D4ED8"/>
          <w:sz w:val="22"/>
          <w:szCs w:val="22"/>
        </w:rPr>
        <w:t xml:space="preserve">Contact list import, cleaning, and 3-segment setup in Brevo</w:t>
      </w:r>
    </w:p>
    <w:p>
      <w:pPr>
        <w:pStyle w:val="ListParagraph"/>
        <w:numPr>
          <w:ilvl w:val="0"/>
          <w:numId w:val="1"/>
        </w:numPr>
        <w:spacing w:after="80"/>
      </w:pPr>
      <w:r>
        <w:rPr>
          <w:rFonts w:ascii="Calibri" w:cs="Calibri" w:eastAsia="Calibri" w:hAnsi="Calibri"/>
          <w:color w:val="1D4ED8"/>
          <w:sz w:val="22"/>
          <w:szCs w:val="22"/>
        </w:rPr>
        <w:t xml:space="preserve">A/B subject line test on 2 campaigns with winning variant analysis</w:t>
      </w:r>
    </w:p>
    <w:p>
      <w:pPr>
        <w:pStyle w:val="ListParagraph"/>
        <w:numPr>
          <w:ilvl w:val="0"/>
          <w:numId w:val="1"/>
        </w:numPr>
        <w:spacing w:after="80"/>
      </w:pPr>
      <w:r>
        <w:rPr>
          <w:rFonts w:ascii="Calibri" w:cs="Calibri" w:eastAsia="Calibri" w:hAnsi="Calibri"/>
          <w:color w:val="1D4ED8"/>
          <w:sz w:val="22"/>
          <w:szCs w:val="22"/>
        </w:rPr>
        <w:t xml:space="preserve">Welcome automation sequence (3-email drip for new subscribers)</w:t>
      </w:r>
    </w:p>
    <w:p>
      <w:pPr>
        <w:pStyle w:val="ListParagraph"/>
        <w:numPr>
          <w:ilvl w:val="0"/>
          <w:numId w:val="1"/>
        </w:numPr>
        <w:spacing w:after="80"/>
      </w:pPr>
      <w:r>
        <w:rPr>
          <w:rFonts w:ascii="Calibri" w:cs="Calibri" w:eastAsia="Calibri" w:hAnsi="Calibri"/>
          <w:color w:val="1D4ED8"/>
          <w:sz w:val="22"/>
          <w:szCs w:val="22"/>
        </w:rPr>
        <w:t xml:space="preserve">Monthly performance report — open, click, unsub, revenue per campaign</w:t>
      </w:r>
    </w:p>
    <w:p>
      <w:pPr>
        <w:pStyle w:val="ListParagraph"/>
        <w:numPr>
          <w:ilvl w:val="0"/>
          <w:numId w:val="1"/>
        </w:numPr>
        <w:spacing w:after="80"/>
      </w:pPr>
      <w:r>
        <w:rPr>
          <w:rFonts w:ascii="Calibri" w:cs="Calibri" w:eastAsia="Calibri" w:hAnsi="Calibri"/>
          <w:color w:val="1D4ED8"/>
          <w:sz w:val="22"/>
          <w:szCs w:val="22"/>
        </w:rPr>
        <w:t xml:space="preserve">Google Sheets campaign tracker — all KPIs logged monthly</w:t>
      </w:r>
    </w:p>
    <w:p>
      <w:pPr>
        <w:pStyle w:val="ListParagraph"/>
        <w:numPr>
          <w:ilvl w:val="0"/>
          <w:numId w:val="1"/>
        </w:numPr>
        <w:spacing w:after="80"/>
      </w:pPr>
      <w:r>
        <w:rPr>
          <w:rFonts w:ascii="Calibri" w:cs="Calibri" w:eastAsia="Calibri" w:hAnsi="Calibri"/>
          <w:color w:val="1D4ED8"/>
          <w:sz w:val="22"/>
          <w:szCs w:val="22"/>
        </w:rPr>
        <w:t xml:space="preserve">Sender reputation management — bounce cleaning + suppression rules</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Testimonial</w:t>
      </w:r>
    </w:p>
    <w:p>
      <w:pPr>
        <w:pBdr>
          <w:left w:val="thick" w:color="00B4D8" w:sz="16"/>
        </w:pBdr>
        <w:shd w:fill="F0F9FF" w:color="auto" w:val="clear"/>
        <w:spacing w:after="80" w:before="140"/>
        <w:ind w:left="431"/>
      </w:pPr>
      <w:r>
        <w:rPr>
          <w:rFonts w:ascii="Calibri" w:cs="Calibri" w:eastAsia="Calibri" w:hAnsi="Calibri"/>
          <w:i/>
          <w:iCs/>
          <w:color w:val="1E293B"/>
          <w:sz w:val="22"/>
          <w:szCs w:val="22"/>
        </w:rPr>
        <w:t xml:space="preserve">We hadn't touched our email list in 18 months and thought it was dead. NextMarketing revived it in the first campaign and we had students registering within 48 hours of the second send. The RM18k from two campaigns paid for a full year of email marketing. We didn't know our list was this valuable.</w:t>
      </w:r>
    </w:p>
    <w:p>
      <w:pPr>
        <w:spacing w:after="160"/>
        <w:ind w:left="431"/>
      </w:pPr>
      <w:r>
        <w:rPr>
          <w:rFonts w:ascii="Calibri" w:cs="Calibri" w:eastAsia="Calibri" w:hAnsi="Calibri"/>
          <w:b/>
          <w:bCs/>
          <w:color w:val="0A2540"/>
          <w:sz w:val="21"/>
          <w:szCs w:val="21"/>
        </w:rPr>
        <w:t xml:space="preserve">Siti Hajar binti Mahmud</w:t>
      </w:r>
      <w:r>
        <w:rPr>
          <w:rFonts w:ascii="Calibri" w:cs="Calibri" w:eastAsia="Calibri" w:hAnsi="Calibri"/>
          <w:color w:val="555555"/>
          <w:sz w:val="20"/>
          <w:szCs w:val="20"/>
        </w:rPr>
        <w:t xml:space="preserve">  ·  Programme Director · ProSkill Academy · Shah Alam</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2026-05-01T04:26:17.342Z</dcterms:created>
  <dcterms:modified xsi:type="dcterms:W3CDTF">2026-05-01T04:26:17.342Z</dcterms:modified>
</cp:coreProperties>
</file>

<file path=docProps/custom.xml><?xml version="1.0" encoding="utf-8"?>
<Properties xmlns="http://schemas.openxmlformats.org/officeDocument/2006/custom-properties" xmlns:vt="http://schemas.openxmlformats.org/officeDocument/2006/docPropsVTypes"/>
</file>