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888888"/>
          <w:sz w:val="18"/>
          <w:szCs w:val="18"/>
        </w:rPr>
        <w:t xml:space="preserve">Graphic Design · 🟢 Easy Tier · NextMarketing Case Study</w:t>
      </w:r>
    </w:p>
    <w:p>
      <w:pPr>
        <w:spacing w:after="80"/>
      </w:pPr>
      <w:r>
        <w:rPr>
          <w:rFonts w:ascii="Calibri" w:cs="Calibri" w:eastAsia="Calibri" w:hAnsi="Calibri"/>
          <w:b/>
          <w:bCs/>
          <w:color w:val="0A2540"/>
          <w:sz w:val="46"/>
          <w:szCs w:val="46"/>
        </w:rPr>
        <w:t xml:space="preserve">Graphic Design</w:t>
      </w:r>
    </w:p>
    <w:p>
      <w:pPr>
        <w:spacing w:after="80"/>
      </w:pPr>
      <w:r>
        <w:rPr>
          <w:rFonts w:ascii="Calibri" w:cs="Calibri" w:eastAsia="Calibri" w:hAnsi="Calibri"/>
          <w:i/>
          <w:iCs/>
          <w:color w:val="555555"/>
          <w:sz w:val="22"/>
          <w:szCs w:val="22"/>
        </w:rPr>
        <w:t xml:space="preserve">How a financial advisory firm replaced 4 conflicting visual styles with one brand identity — and saw engagement rise 2.4× across all channels</w:t>
      </w:r>
    </w:p>
    <w:p>
      <w:pPr>
        <w:spacing w:after="80"/>
      </w:pPr>
      <w:r>
        <w:rPr>
          <w:rFonts w:ascii="Calibri" w:cs="Calibri" w:eastAsia="Calibri" w:hAnsi="Calibri"/>
          <w:color w:val="64748B"/>
          <w:sz w:val="20"/>
          <w:szCs w:val="20"/>
        </w:rPr>
        <w:t xml:space="preserve">🏢 Meridian Wealth Advisory · Financial Services   |   📅 Jan – Mar 2026 · 3 months   |   🎨 10 Branded Assets / Month   |   📍 Kuala Lumpur, Malaysia</w:t>
      </w:r>
    </w:p>
    <w:p>
      <w:pPr>
        <w:pBdr>
          <w:bottom w:val="single" w:color="0A2540" w:sz="8"/>
        </w:pBdr>
        <w:spacing w:after="40" w:before="4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D4EA" w:sz="4"/>
              <w:left w:val="single" w:color="C0D4EA" w:sz="4"/>
              <w:bottom w:val="single" w:color="C0D4EA" w:sz="4"/>
              <w:right w:val="single" w:color="C0D4EA" w:sz="4"/>
            </w:tcBorders>
            <w:shd w:fill="EEF4FB" w:color="auto" w:val="clear"/>
            <w:tcMar>
              <w:top w:type="dxa" w:w="172"/>
              <w:left w:type="dxa" w:w="144"/>
              <w:bottom w:type="dxa" w:w="172"/>
              <w:right w:type="dxa" w:w="144"/>
            </w:tcMar>
          </w:tcPr>
          <w:p>
            <w:pPr>
              <w:spacing w:after="40"/>
              <w:jc w:val="center"/>
            </w:pPr>
            <w:r>
              <w:rPr>
                <w:rFonts w:ascii="Calibri" w:cs="Calibri" w:eastAsia="Calibri" w:hAnsi="Calibri"/>
                <w:b/>
                <w:bCs/>
                <w:color w:val="0A2540"/>
                <w:sz w:val="40"/>
                <w:szCs w:val="40"/>
              </w:rPr>
              <w:t xml:space="preserve">100%</w:t>
            </w:r>
          </w:p>
          <w:p>
            <w:pPr>
              <w:jc w:val="center"/>
            </w:pPr>
            <w:r>
              <w:rPr>
                <w:rFonts w:ascii="Calibri" w:cs="Calibri" w:eastAsia="Calibri" w:hAnsi="Calibri"/>
                <w:color w:val="555555"/>
                <w:sz w:val="20"/>
                <w:szCs w:val="20"/>
              </w:rPr>
              <w:t xml:space="preserve">Brand Consistency Achieved</w:t>
            </w:r>
          </w:p>
        </w:tc>
        <w:tc>
          <w:tcPr>
            <w:tcBorders>
              <w:top w:val="single" w:color="C0D4EA" w:sz="4"/>
              <w:left w:val="single" w:color="C0D4EA" w:sz="4"/>
              <w:bottom w:val="single" w:color="C0D4EA" w:sz="4"/>
              <w:right w:val="single" w:color="C0D4EA" w:sz="4"/>
            </w:tcBorders>
            <w:shd w:fill="EEF4FB" w:color="auto" w:val="clear"/>
            <w:tcMar>
              <w:top w:type="dxa" w:w="172"/>
              <w:left w:type="dxa" w:w="144"/>
              <w:bottom w:type="dxa" w:w="172"/>
              <w:right w:type="dxa" w:w="144"/>
            </w:tcMar>
          </w:tcPr>
          <w:p>
            <w:pPr>
              <w:spacing w:after="40"/>
              <w:jc w:val="center"/>
            </w:pPr>
            <w:r>
              <w:rPr>
                <w:rFonts w:ascii="Calibri" w:cs="Calibri" w:eastAsia="Calibri" w:hAnsi="Calibri"/>
                <w:b/>
                <w:bCs/>
                <w:color w:val="0A2540"/>
                <w:sz w:val="40"/>
                <w:szCs w:val="40"/>
              </w:rPr>
              <w:t xml:space="preserve">2.4×</w:t>
            </w:r>
          </w:p>
          <w:p>
            <w:pPr>
              <w:jc w:val="center"/>
            </w:pPr>
            <w:r>
              <w:rPr>
                <w:rFonts w:ascii="Calibri" w:cs="Calibri" w:eastAsia="Calibri" w:hAnsi="Calibri"/>
                <w:color w:val="555555"/>
                <w:sz w:val="20"/>
                <w:szCs w:val="20"/>
              </w:rPr>
              <w:t xml:space="preserve">Average Post Engagement Rate</w:t>
            </w:r>
          </w:p>
        </w:tc>
        <w:tc>
          <w:tcPr>
            <w:tcBorders>
              <w:top w:val="single" w:color="C0D4EA" w:sz="4"/>
              <w:left w:val="single" w:color="C0D4EA" w:sz="4"/>
              <w:bottom w:val="single" w:color="C0D4EA" w:sz="4"/>
              <w:right w:val="single" w:color="C0D4EA" w:sz="4"/>
            </w:tcBorders>
            <w:shd w:fill="EEF4FB" w:color="auto" w:val="clear"/>
            <w:tcMar>
              <w:top w:type="dxa" w:w="172"/>
              <w:left w:type="dxa" w:w="144"/>
              <w:bottom w:type="dxa" w:w="172"/>
              <w:right w:type="dxa" w:w="144"/>
            </w:tcMar>
          </w:tcPr>
          <w:p>
            <w:pPr>
              <w:spacing w:after="40"/>
              <w:jc w:val="center"/>
            </w:pPr>
            <w:r>
              <w:rPr>
                <w:rFonts w:ascii="Calibri" w:cs="Calibri" w:eastAsia="Calibri" w:hAnsi="Calibri"/>
                <w:b/>
                <w:bCs/>
                <w:color w:val="0A2540"/>
                <w:sz w:val="40"/>
                <w:szCs w:val="40"/>
              </w:rPr>
              <w:t xml:space="preserve">30</w:t>
            </w:r>
          </w:p>
          <w:p>
            <w:pPr>
              <w:jc w:val="center"/>
            </w:pPr>
            <w:r>
              <w:rPr>
                <w:rFonts w:ascii="Calibri" w:cs="Calibri" w:eastAsia="Calibri" w:hAnsi="Calibri"/>
                <w:color w:val="555555"/>
                <w:sz w:val="20"/>
                <w:szCs w:val="20"/>
              </w:rPr>
              <w:t xml:space="preserve">Branded Assets Delivered</w:t>
            </w:r>
          </w:p>
        </w:tc>
      </w:tr>
    </w:tbl>
    <w:p>
      <w:pPr>
        <w:spacing w:after="12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Client Overview</w:t>
      </w:r>
    </w:p>
    <w:p>
      <w:pPr>
        <w:spacing w:after="100"/>
      </w:pPr>
      <w:r>
        <w:rPr>
          <w:rFonts w:ascii="Calibri" w:cs="Calibri" w:eastAsia="Calibri" w:hAnsi="Calibri"/>
          <w:color w:val="333333"/>
          <w:sz w:val="22"/>
          <w:szCs w:val="22"/>
        </w:rPr>
        <w:t xml:space="preserve">Meridian Wealth Advisory is an independent financial advisory boutique in KL serving high-net-worth individuals with investment planning, insurance, and estate management. With 4 licensed advisors and a small admin team, they had been posting financial tips and market updates on LinkedIn and Instagram for 18 months.</w:t>
      </w:r>
    </w:p>
    <w:p>
      <w:pPr>
        <w:spacing w:after="100"/>
      </w:pPr>
      <w:r>
        <w:rPr>
          <w:rFonts w:ascii="Calibri" w:cs="Calibri" w:eastAsia="Calibri" w:hAnsi="Calibri"/>
          <w:color w:val="333333"/>
          <w:sz w:val="22"/>
          <w:szCs w:val="22"/>
        </w:rPr>
        <w:t xml:space="preserve">The problem: every team member was creating their own posts using different design tools, font sizes, colour schemes, and photo styles. The result was a feed that looked inconsistent and unprofessional — undercutting the trust a financial services brand depends on.</w:t>
      </w:r>
    </w:p>
    <w:p>
      <w:pPr>
        <w:spacing w:after="100"/>
      </w:pPr>
      <w:r>
        <w:rPr>
          <w:rFonts w:ascii="Calibri" w:cs="Calibri" w:eastAsia="Calibri" w:hAnsi="Calibri"/>
          <w:color w:val="333333"/>
          <w:sz w:val="22"/>
          <w:szCs w:val="22"/>
        </w:rPr>
        <w:t xml:space="preserve">Meridian Wealth Advisory is an independent financial advisory boutique in KL serving high-net-worth individuals with investment planning, insurance, and estate management. With 4 licensed advisors and a small admin team, they had been posting financial tips and market updates on LinkedIn and Instagram for 18 months.</w:t>
      </w:r>
    </w:p>
    <w:p>
      <w:pPr>
        <w:spacing w:after="100"/>
      </w:pPr>
      <w:r>
        <w:rPr>
          <w:rFonts w:ascii="Calibri" w:cs="Calibri" w:eastAsia="Calibri" w:hAnsi="Calibri"/>
          <w:color w:val="333333"/>
          <w:sz w:val="22"/>
          <w:szCs w:val="22"/>
        </w:rPr>
        <w:t xml:space="preserve">The problem: every team member was creating their own posts using different design tools, font sizes, colour schemes, and photo styles. The result was a feed that looked inconsistent and unprofessional — undercutting the trust a financial services brand depends on.</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The Challenge</w:t>
      </w:r>
    </w:p>
    <w:p>
      <w:pPr>
        <w:pStyle w:val="ListParagraph"/>
        <w:numPr>
          <w:ilvl w:val="0"/>
          <w:numId w:val="1"/>
        </w:numPr>
        <w:spacing w:after="80"/>
      </w:pPr>
      <w:r>
        <w:rPr>
          <w:rFonts w:ascii="Calibri" w:cs="Calibri" w:eastAsia="Calibri" w:hAnsi="Calibri"/>
          <w:color w:val="333333"/>
          <w:sz w:val="22"/>
          <w:szCs w:val="22"/>
        </w:rPr>
        <w:t xml:space="preserve">4 advisors posting independently — 4 different design approaches, 3 different font families in use simultaneously</w:t>
      </w:r>
    </w:p>
    <w:p>
      <w:pPr>
        <w:pStyle w:val="ListParagraph"/>
        <w:numPr>
          <w:ilvl w:val="0"/>
          <w:numId w:val="1"/>
        </w:numPr>
        <w:spacing w:after="80"/>
      </w:pPr>
      <w:r>
        <w:rPr>
          <w:rFonts w:ascii="Calibri" w:cs="Calibri" w:eastAsia="Calibri" w:hAnsi="Calibri"/>
          <w:color w:val="333333"/>
          <w:sz w:val="22"/>
          <w:szCs w:val="22"/>
        </w:rPr>
        <w:t xml:space="preserve">Stock photos from 3 different providers with inconsistent visual style (some professional, some casual)</w:t>
      </w:r>
    </w:p>
    <w:p>
      <w:pPr>
        <w:pStyle w:val="ListParagraph"/>
        <w:numPr>
          <w:ilvl w:val="0"/>
          <w:numId w:val="1"/>
        </w:numPr>
        <w:spacing w:after="80"/>
      </w:pPr>
      <w:r>
        <w:rPr>
          <w:rFonts w:ascii="Calibri" w:cs="Calibri" w:eastAsia="Calibri" w:hAnsi="Calibri"/>
          <w:color w:val="333333"/>
          <w:sz w:val="22"/>
          <w:szCs w:val="22"/>
        </w:rPr>
        <w:t xml:space="preserve">No brand kit — logo file existed but was never applied consistently to social content</w:t>
      </w:r>
    </w:p>
    <w:p>
      <w:pPr>
        <w:pStyle w:val="ListParagraph"/>
        <w:numPr>
          <w:ilvl w:val="0"/>
          <w:numId w:val="1"/>
        </w:numPr>
        <w:spacing w:after="80"/>
      </w:pPr>
      <w:r>
        <w:rPr>
          <w:rFonts w:ascii="Calibri" w:cs="Calibri" w:eastAsia="Calibri" w:hAnsi="Calibri"/>
          <w:color w:val="333333"/>
          <w:sz w:val="22"/>
          <w:szCs w:val="22"/>
        </w:rPr>
        <w:t xml:space="preserve">Engagement rate: 1.8% average — below financial services benchmark of 2.5%</w:t>
      </w:r>
    </w:p>
    <w:p>
      <w:pPr>
        <w:pStyle w:val="ListParagraph"/>
        <w:numPr>
          <w:ilvl w:val="0"/>
          <w:numId w:val="1"/>
        </w:numPr>
        <w:spacing w:after="80"/>
      </w:pPr>
      <w:r>
        <w:rPr>
          <w:rFonts w:ascii="Calibri" w:cs="Calibri" w:eastAsia="Calibri" w:hAnsi="Calibri"/>
          <w:color w:val="333333"/>
          <w:sz w:val="22"/>
          <w:szCs w:val="22"/>
        </w:rPr>
        <w:t xml:space="preserve">Prospects told the firm: "Your posts don't look like a proper wealth management company"</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Our Approach — Month by Month</w:t>
      </w:r>
    </w:p>
    <w:p>
      <w:pPr>
        <w:spacing w:after="80" w:before="200"/>
      </w:pPr>
      <w:r>
        <w:rPr>
          <w:rFonts w:ascii="Calibri" w:cs="Calibri" w:eastAsia="Calibri" w:hAnsi="Calibri"/>
          <w:b/>
          <w:bCs/>
          <w:color w:val="FFFFFF"/>
          <w:sz w:val="20"/>
          <w:szCs w:val="20"/>
          <w:shd w:fill="0A2540" w:color="auto" w:val="clear"/>
        </w:rPr>
        <w:t xml:space="preserve">Month 1 · Jan</w:t>
      </w:r>
      <w:r>
        <w:rPr>
          <w:rFonts w:ascii="Calibri" w:cs="Calibri" w:eastAsia="Calibri" w:hAnsi="Calibri"/>
          <w:b/>
          <w:bCs/>
          <w:color w:val="0A2540"/>
          <w:sz w:val="22"/>
          <w:szCs w:val="22"/>
        </w:rPr>
        <w:t xml:space="preserve">   Brand Audit &amp; Visual Identity Rebuild</w:t>
      </w:r>
    </w:p>
    <w:p>
      <w:pPr>
        <w:pStyle w:val="ListParagraph"/>
        <w:numPr>
          <w:ilvl w:val="0"/>
          <w:numId w:val="1"/>
        </w:numPr>
        <w:spacing w:after="70"/>
        <w:ind w:left="288"/>
      </w:pPr>
      <w:r>
        <w:rPr>
          <w:rFonts w:ascii="Calibri" w:cs="Calibri" w:eastAsia="Calibri" w:hAnsi="Calibri"/>
          <w:color w:val="444444"/>
          <w:sz w:val="21"/>
          <w:szCs w:val="21"/>
        </w:rPr>
        <w:t xml:space="preserve">Conducted a full brand audit across 47 historical posts — identifying 6 different colour combinations and 3 inconsistent font families in use across 4 advisors' content, confirming the depth of the brand inconsistency problem.</w:t>
      </w:r>
    </w:p>
    <w:p>
      <w:pPr>
        <w:pStyle w:val="ListParagraph"/>
        <w:numPr>
          <w:ilvl w:val="0"/>
          <w:numId w:val="1"/>
        </w:numPr>
        <w:spacing w:after="70"/>
        <w:ind w:left="288"/>
      </w:pPr>
      <w:r>
        <w:rPr>
          <w:rFonts w:ascii="Calibri" w:cs="Calibri" w:eastAsia="Calibri" w:hAnsi="Calibri"/>
          <w:color w:val="444444"/>
          <w:sz w:val="21"/>
          <w:szCs w:val="21"/>
        </w:rPr>
        <w:t xml:space="preserve">Built a unified brand system and 3 master post templates (Insight Card, Market Update, and Client Tip) — locking colours, typography, and photo style to a single professional standard derived from the firm's existing logo and positioning.</w:t>
      </w:r>
    </w:p>
    <w:p>
      <w:pPr>
        <w:pStyle w:val="ListParagraph"/>
        <w:numPr>
          <w:ilvl w:val="0"/>
          <w:numId w:val="1"/>
        </w:numPr>
        <w:spacing w:after="70"/>
        <w:ind w:left="288"/>
      </w:pPr>
      <w:r>
        <w:rPr>
          <w:rFonts w:ascii="Calibri" w:cs="Calibri" w:eastAsia="Calibri" w:hAnsi="Calibri"/>
          <w:color w:val="444444"/>
          <w:sz w:val="21"/>
          <w:szCs w:val="21"/>
        </w:rPr>
        <w:t xml:space="preserve">Delivered Month 1's full 10-asset package — 6 social posts, 2 LinkedIn banners, and 2 email headers — all consistent for the first time in the firm's history, with engagement climbing from 1.8% to 2.5% immediately.</w:t>
      </w:r>
    </w:p>
    <w:p>
      <w:pPr>
        <w:spacing w:after="80" w:before="200"/>
      </w:pPr>
      <w:r>
        <w:rPr>
          <w:rFonts w:ascii="Calibri" w:cs="Calibri" w:eastAsia="Calibri" w:hAnsi="Calibri"/>
          <w:b/>
          <w:bCs/>
          <w:color w:val="FFFFFF"/>
          <w:sz w:val="20"/>
          <w:szCs w:val="20"/>
          <w:shd w:fill="0A2540" w:color="auto" w:val="clear"/>
        </w:rPr>
        <w:t xml:space="preserve">Month 2 · Feb</w:t>
      </w:r>
      <w:r>
        <w:rPr>
          <w:rFonts w:ascii="Calibri" w:cs="Calibri" w:eastAsia="Calibri" w:hAnsi="Calibri"/>
          <w:b/>
          <w:bCs/>
          <w:color w:val="0A2540"/>
          <w:sz w:val="22"/>
          <w:szCs w:val="22"/>
        </w:rPr>
        <w:t xml:space="preserve">   Consistency at Scale — All Channels</w:t>
      </w:r>
    </w:p>
    <w:p>
      <w:pPr>
        <w:pStyle w:val="ListParagraph"/>
        <w:numPr>
          <w:ilvl w:val="0"/>
          <w:numId w:val="1"/>
        </w:numPr>
        <w:spacing w:after="70"/>
        <w:ind w:left="288"/>
      </w:pPr>
      <w:r>
        <w:rPr>
          <w:rFonts w:ascii="Calibri" w:cs="Calibri" w:eastAsia="Calibri" w:hAnsi="Calibri"/>
          <w:color w:val="444444"/>
          <w:sz w:val="21"/>
          <w:szCs w:val="21"/>
        </w:rPr>
        <w:t xml:space="preserve">All 4 advisors briefed on brand kit usage — shared Canva team link so all could access templates without editing originals</w:t>
      </w:r>
    </w:p>
    <w:p>
      <w:pPr>
        <w:pStyle w:val="ListParagraph"/>
        <w:numPr>
          <w:ilvl w:val="0"/>
          <w:numId w:val="1"/>
        </w:numPr>
        <w:spacing w:after="70"/>
        <w:ind w:left="288"/>
      </w:pPr>
      <w:r>
        <w:rPr>
          <w:rFonts w:ascii="Calibri" w:cs="Calibri" w:eastAsia="Calibri" w:hAnsi="Calibri"/>
          <w:color w:val="444444"/>
          <w:sz w:val="21"/>
          <w:szCs w:val="21"/>
        </w:rPr>
        <w:t xml:space="preserve">Month 2 assets: 6 posts + 2 infographics ("5 signs you need an estate plan") + 2 ad creatives for Meta awareness campaign</w:t>
      </w:r>
    </w:p>
    <w:p>
      <w:pPr>
        <w:pStyle w:val="ListParagraph"/>
        <w:numPr>
          <w:ilvl w:val="0"/>
          <w:numId w:val="1"/>
        </w:numPr>
        <w:spacing w:after="70"/>
        <w:ind w:left="288"/>
      </w:pPr>
      <w:r>
        <w:rPr>
          <w:rFonts w:ascii="Calibri" w:cs="Calibri" w:eastAsia="Calibri" w:hAnsi="Calibri"/>
          <w:color w:val="444444"/>
          <w:sz w:val="21"/>
          <w:szCs w:val="21"/>
        </w:rPr>
        <w:t xml:space="preserve">Engagement rose to 3.1% average — 72% increase from 1.8% pre-engagement baseline</w:t>
      </w:r>
    </w:p>
    <w:p>
      <w:pPr>
        <w:pStyle w:val="ListParagraph"/>
        <w:numPr>
          <w:ilvl w:val="0"/>
          <w:numId w:val="1"/>
        </w:numPr>
        <w:spacing w:after="70"/>
        <w:ind w:left="288"/>
      </w:pPr>
      <w:r>
        <w:rPr>
          <w:rFonts w:ascii="Calibri" w:cs="Calibri" w:eastAsia="Calibri" w:hAnsi="Calibri"/>
          <w:color w:val="444444"/>
          <w:sz w:val="21"/>
          <w:szCs w:val="21"/>
        </w:rPr>
        <w:t xml:space="preserve">Infographic posts performed 3.2× better than text-only posts — adjusted Month 3 mix accordingly</w:t>
      </w:r>
    </w:p>
    <w:p>
      <w:pPr>
        <w:spacing w:after="80" w:before="200"/>
      </w:pPr>
      <w:r>
        <w:rPr>
          <w:rFonts w:ascii="Calibri" w:cs="Calibri" w:eastAsia="Calibri" w:hAnsi="Calibri"/>
          <w:b/>
          <w:bCs/>
          <w:color w:val="FFFFFF"/>
          <w:sz w:val="20"/>
          <w:szCs w:val="20"/>
          <w:shd w:fill="0A2540" w:color="auto" w:val="clear"/>
        </w:rPr>
        <w:t xml:space="preserve">Month 3 · Mar</w:t>
      </w:r>
      <w:r>
        <w:rPr>
          <w:rFonts w:ascii="Calibri" w:cs="Calibri" w:eastAsia="Calibri" w:hAnsi="Calibri"/>
          <w:b/>
          <w:bCs/>
          <w:color w:val="0A2540"/>
          <w:sz w:val="22"/>
          <w:szCs w:val="22"/>
        </w:rPr>
        <w:t xml:space="preserve">   Peak Results — 2.4× Engagement &amp; Identity Locked</w:t>
      </w:r>
    </w:p>
    <w:p>
      <w:pPr>
        <w:pStyle w:val="ListParagraph"/>
        <w:numPr>
          <w:ilvl w:val="0"/>
          <w:numId w:val="1"/>
        </w:numPr>
        <w:spacing w:after="70"/>
        <w:ind w:left="288"/>
      </w:pPr>
      <w:r>
        <w:rPr>
          <w:rFonts w:ascii="Calibri" w:cs="Calibri" w:eastAsia="Calibri" w:hAnsi="Calibri"/>
          <w:color w:val="444444"/>
          <w:sz w:val="21"/>
          <w:szCs w:val="21"/>
        </w:rPr>
        <w:t xml:space="preserve">Month 3 assets: 6 posts + 2 infographics + 1 pitch deck cover + 1 capability one-pager</w:t>
      </w:r>
    </w:p>
    <w:p>
      <w:pPr>
        <w:pStyle w:val="ListParagraph"/>
        <w:numPr>
          <w:ilvl w:val="0"/>
          <w:numId w:val="1"/>
        </w:numPr>
        <w:spacing w:after="70"/>
        <w:ind w:left="288"/>
      </w:pPr>
      <w:r>
        <w:rPr>
          <w:rFonts w:ascii="Calibri" w:cs="Calibri" w:eastAsia="Calibri" w:hAnsi="Calibri"/>
          <w:color w:val="444444"/>
          <w:sz w:val="21"/>
          <w:szCs w:val="21"/>
        </w:rPr>
        <w:t xml:space="preserve">Engagement averaged 4.3% in March — 2.4× the pre-engagement baseline of 1.8%</w:t>
      </w:r>
    </w:p>
    <w:p>
      <w:pPr>
        <w:pStyle w:val="ListParagraph"/>
        <w:numPr>
          <w:ilvl w:val="0"/>
          <w:numId w:val="1"/>
        </w:numPr>
        <w:spacing w:after="70"/>
        <w:ind w:left="288"/>
      </w:pPr>
      <w:r>
        <w:rPr>
          <w:rFonts w:ascii="Calibri" w:cs="Calibri" w:eastAsia="Calibri" w:hAnsi="Calibri"/>
          <w:color w:val="444444"/>
          <w:sz w:val="21"/>
          <w:szCs w:val="21"/>
        </w:rPr>
        <w:t xml:space="preserve">One LinkedIn post ("3 mistakes Malaysian investors make with EPF") reached 4,200 impressions — best performing post in firm's history</w:t>
      </w:r>
    </w:p>
    <w:p>
      <w:pPr>
        <w:pStyle w:val="ListParagraph"/>
        <w:numPr>
          <w:ilvl w:val="0"/>
          <w:numId w:val="1"/>
        </w:numPr>
        <w:spacing w:after="70"/>
        <w:ind w:left="288"/>
      </w:pPr>
      <w:r>
        <w:rPr>
          <w:rFonts w:ascii="Calibri" w:cs="Calibri" w:eastAsia="Calibri" w:hAnsi="Calibri"/>
          <w:color w:val="444444"/>
          <w:sz w:val="21"/>
          <w:szCs w:val="21"/>
        </w:rPr>
        <w:t xml:space="preserve">Delivered full brand standards PDF — template library, do's &amp; don'ts guide, Canva access instructions for ongoing self-service</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Assets Delivered — 30 Total Across 3 Months</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Engagement Rate Growth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05192A" w:sz="6"/>
              <w:left w:val="single" w:color="05192A" w:sz="6"/>
              <w:bottom w:val="single" w:color="05192A" w:sz="6"/>
              <w:right w:val="single" w:color="05192A" w:sz="6"/>
            </w:tcBorders>
            <w:shd w:fill="0A2540" w:color="auto" w:val="clear"/>
            <w:tcMar>
              <w:top w:type="dxa" w:w="144"/>
              <w:left w:type="dxa" w:w="172"/>
              <w:bottom w:type="dxa" w:w="144"/>
              <w:right w:type="dxa" w:w="172"/>
            </w:tcMar>
          </w:tcPr>
          <w:p>
            <w:r>
              <w:rPr>
                <w:rFonts w:ascii="Calibri" w:cs="Calibri" w:eastAsia="Calibri" w:hAnsi="Calibri"/>
                <w:b/>
                <w:bCs/>
                <w:color w:val="FFFFFF"/>
                <w:sz w:val="21"/>
                <w:szCs w:val="21"/>
              </w:rPr>
              <w:t xml:space="preserve">Period</w:t>
            </w:r>
          </w:p>
        </w:tc>
        <w:tc>
          <w:tcPr>
            <w:tcBorders>
              <w:top w:val="single" w:color="05192A" w:sz="6"/>
              <w:left w:val="single" w:color="05192A" w:sz="6"/>
              <w:bottom w:val="single" w:color="05192A" w:sz="6"/>
              <w:right w:val="single" w:color="05192A" w:sz="6"/>
            </w:tcBorders>
            <w:shd w:fill="0A2540" w:color="auto" w:val="clear"/>
            <w:tcMar>
              <w:top w:type="dxa" w:w="144"/>
              <w:left w:type="dxa" w:w="172"/>
              <w:bottom w:type="dxa" w:w="144"/>
              <w:right w:type="dxa" w:w="172"/>
            </w:tcMar>
          </w:tcPr>
          <w:p>
            <w:pPr>
              <w:jc w:val="right"/>
            </w:pPr>
            <w:r>
              <w:rPr>
                <w:rFonts w:ascii="Calibri" w:cs="Calibri" w:eastAsia="Calibri" w:hAnsi="Calibri"/>
                <w:b/>
                <w:bCs/>
                <w:color w:val="FFFFFF"/>
                <w:sz w:val="21"/>
                <w:szCs w:val="21"/>
              </w:rPr>
              <w:t xml:space="preserve">Cumulative Followers</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Before</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0A2540"/>
                <w:sz w:val="21"/>
                <w:szCs w:val="21"/>
              </w:rPr>
              <w:t xml:space="preserve">1.8%</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Month 1</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0A2540"/>
                <w:sz w:val="21"/>
                <w:szCs w:val="21"/>
              </w:rPr>
              <w:t xml:space="preserve">2.5%</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Month 2</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0A2540"/>
                <w:sz w:val="21"/>
                <w:szCs w:val="21"/>
              </w:rPr>
              <w:t xml:space="preserve">3.1%</w:t>
            </w:r>
          </w:p>
        </w:tc>
      </w:tr>
      <w:tr>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r>
              <w:rPr>
                <w:rFonts w:ascii="Calibri" w:cs="Calibri" w:eastAsia="Calibri" w:hAnsi="Calibri"/>
                <w:color w:val="333333"/>
                <w:sz w:val="21"/>
                <w:szCs w:val="21"/>
              </w:rPr>
              <w:t xml:space="preserve">Month 3</w:t>
            </w:r>
          </w:p>
        </w:tc>
        <w:tc>
          <w:tcPr>
            <w:tcBorders>
              <w:top w:val="single" w:color="DDDDDD" w:sz="4"/>
              <w:left w:val="single" w:color="DDDDDD" w:sz="4"/>
              <w:bottom w:val="single" w:color="DDDDDD" w:sz="4"/>
              <w:right w:val="single" w:color="DDDDDD" w:sz="4"/>
            </w:tcBorders>
            <w:tcMar>
              <w:top w:type="dxa" w:w="115"/>
              <w:left w:type="dxa" w:w="172"/>
              <w:bottom w:type="dxa" w:w="115"/>
              <w:right w:type="dxa" w:w="172"/>
            </w:tcMar>
          </w:tcPr>
          <w:p>
            <w:pPr>
              <w:jc w:val="right"/>
            </w:pPr>
            <w:r>
              <w:rPr>
                <w:rFonts w:ascii="Calibri" w:cs="Calibri" w:eastAsia="Calibri" w:hAnsi="Calibri"/>
                <w:b/>
                <w:bCs/>
                <w:color w:val="0A2540"/>
                <w:sz w:val="21"/>
                <w:szCs w:val="21"/>
              </w:rPr>
              <w:t xml:space="preserve">4.3%</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Before vs. After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E0C0C0" w:sz="4"/>
              <w:left w:val="single" w:color="E0C0C0" w:sz="4"/>
              <w:bottom w:val="single" w:color="E0C0C0" w:sz="4"/>
              <w:right w:val="single" w:color="E0C0C0" w:sz="4"/>
            </w:tcBorders>
            <w:shd w:fill="FFF5F5" w:color="auto" w:val="clear"/>
            <w:tcMar>
              <w:top w:type="dxa" w:w="144"/>
              <w:left w:type="dxa" w:w="172"/>
              <w:bottom w:type="dxa" w:w="144"/>
              <w:right w:type="dxa" w:w="172"/>
            </w:tcMar>
          </w:tcPr>
          <w:p>
            <w:pPr>
              <w:spacing w:after="100"/>
            </w:pPr>
            <w:r>
              <w:rPr>
                <w:rFonts w:ascii="Calibri" w:cs="Calibri" w:eastAsia="Calibri" w:hAnsi="Calibri"/>
                <w:b/>
                <w:bCs/>
                <w:color w:val="DC2626"/>
                <w:sz w:val="22"/>
                <w:szCs w:val="22"/>
              </w:rPr>
              <w:t xml:space="preserve">Before</w:t>
            </w:r>
          </w:p>
          <w:p>
            <w:pPr>
              <w:spacing w:after="60"/>
            </w:pPr>
            <w:r>
              <w:rPr>
                <w:rFonts w:ascii="Calibri" w:cs="Calibri" w:eastAsia="Calibri" w:hAnsi="Calibri"/>
                <w:color w:val="333333"/>
                <w:sz w:val="21"/>
                <w:szCs w:val="21"/>
              </w:rPr>
              <w:t xml:space="preserve">Brand consistency: None (4 styles)</w:t>
            </w:r>
          </w:p>
          <w:p>
            <w:pPr>
              <w:spacing w:after="60"/>
            </w:pPr>
            <w:r>
              <w:rPr>
                <w:rFonts w:ascii="Calibri" w:cs="Calibri" w:eastAsia="Calibri" w:hAnsi="Calibri"/>
                <w:color w:val="333333"/>
                <w:sz w:val="21"/>
                <w:szCs w:val="21"/>
              </w:rPr>
              <w:t xml:space="preserve">Fonts in use: 3 different families</w:t>
            </w:r>
          </w:p>
          <w:p>
            <w:pPr>
              <w:spacing w:after="60"/>
            </w:pPr>
            <w:r>
              <w:rPr>
                <w:rFonts w:ascii="Calibri" w:cs="Calibri" w:eastAsia="Calibri" w:hAnsi="Calibri"/>
                <w:color w:val="333333"/>
                <w:sz w:val="21"/>
                <w:szCs w:val="21"/>
              </w:rPr>
              <w:t xml:space="preserve">Avg. engagement rate: 1.8%</w:t>
            </w:r>
          </w:p>
          <w:p>
            <w:pPr>
              <w:spacing w:after="60"/>
            </w:pPr>
            <w:r>
              <w:rPr>
                <w:rFonts w:ascii="Calibri" w:cs="Calibri" w:eastAsia="Calibri" w:hAnsi="Calibri"/>
                <w:color w:val="333333"/>
                <w:sz w:val="21"/>
                <w:szCs w:val="21"/>
              </w:rPr>
              <w:t xml:space="preserve">Design tool: Mixed (PowerPoint, Canva, phone apps)</w:t>
            </w:r>
          </w:p>
          <w:p>
            <w:pPr>
              <w:spacing w:after="60"/>
            </w:pPr>
            <w:r>
              <w:rPr>
                <w:rFonts w:ascii="Calibri" w:cs="Calibri" w:eastAsia="Calibri" w:hAnsi="Calibri"/>
                <w:color w:val="333333"/>
                <w:sz w:val="21"/>
                <w:szCs w:val="21"/>
              </w:rPr>
              <w:t xml:space="preserve">Brand kit: None</w:t>
            </w:r>
          </w:p>
        </w:tc>
        <w:tc>
          <w:tcPr>
            <w:tcW w:type="pct" w:w="50%"/>
            <w:tcBorders>
              <w:top w:val="single" w:color="A8D8B8" w:sz="4"/>
              <w:left w:val="single" w:color="A8D8B8" w:sz="4"/>
              <w:bottom w:val="single" w:color="A8D8B8" w:sz="4"/>
              <w:right w:val="single" w:color="A8D8B8" w:sz="4"/>
            </w:tcBorders>
            <w:shd w:fill="F0FFF4" w:color="auto" w:val="clear"/>
            <w:tcMar>
              <w:top w:type="dxa" w:w="144"/>
              <w:left w:type="dxa" w:w="172"/>
              <w:bottom w:type="dxa" w:w="144"/>
              <w:right w:type="dxa" w:w="172"/>
            </w:tcMar>
          </w:tcPr>
          <w:p>
            <w:pPr>
              <w:spacing w:after="100"/>
            </w:pPr>
            <w:r>
              <w:rPr>
                <w:rFonts w:ascii="Calibri" w:cs="Calibri" w:eastAsia="Calibri" w:hAnsi="Calibri"/>
                <w:b/>
                <w:bCs/>
                <w:color w:val="16A34A"/>
                <w:sz w:val="22"/>
                <w:szCs w:val="22"/>
              </w:rPr>
              <w:t xml:space="preserve">After</w:t>
            </w:r>
          </w:p>
          <w:p>
            <w:pPr>
              <w:spacing w:after="60"/>
            </w:pPr>
            <w:r>
              <w:rPr>
                <w:rFonts w:ascii="Calibri" w:cs="Calibri" w:eastAsia="Calibri" w:hAnsi="Calibri"/>
                <w:color w:val="333333"/>
                <w:sz w:val="21"/>
                <w:szCs w:val="21"/>
              </w:rPr>
              <w:t xml:space="preserve">Brand consistency: 100% unified</w:t>
            </w:r>
          </w:p>
          <w:p>
            <w:pPr>
              <w:spacing w:after="60"/>
            </w:pPr>
            <w:r>
              <w:rPr>
                <w:rFonts w:ascii="Calibri" w:cs="Calibri" w:eastAsia="Calibri" w:hAnsi="Calibri"/>
                <w:color w:val="333333"/>
                <w:sz w:val="21"/>
                <w:szCs w:val="21"/>
              </w:rPr>
              <w:t xml:space="preserve">Fonts in use: 1 system (2 weights)</w:t>
            </w:r>
          </w:p>
          <w:p>
            <w:pPr>
              <w:spacing w:after="60"/>
            </w:pPr>
            <w:r>
              <w:rPr>
                <w:rFonts w:ascii="Calibri" w:cs="Calibri" w:eastAsia="Calibri" w:hAnsi="Calibri"/>
                <w:color w:val="333333"/>
                <w:sz w:val="21"/>
                <w:szCs w:val="21"/>
              </w:rPr>
              <w:t xml:space="preserve">Avg. engagement rate: 4.3% (+139%)</w:t>
            </w:r>
          </w:p>
          <w:p>
            <w:pPr>
              <w:spacing w:after="60"/>
            </w:pPr>
            <w:r>
              <w:rPr>
                <w:rFonts w:ascii="Calibri" w:cs="Calibri" w:eastAsia="Calibri" w:hAnsi="Calibri"/>
                <w:color w:val="333333"/>
                <w:sz w:val="21"/>
                <w:szCs w:val="21"/>
              </w:rPr>
              <w:t xml:space="preserve">Design tool: Canva Brand Kit (team)</w:t>
            </w:r>
          </w:p>
          <w:p>
            <w:pPr>
              <w:spacing w:after="60"/>
            </w:pPr>
            <w:r>
              <w:rPr>
                <w:rFonts w:ascii="Calibri" w:cs="Calibri" w:eastAsia="Calibri" w:hAnsi="Calibri"/>
                <w:color w:val="333333"/>
                <w:sz w:val="21"/>
                <w:szCs w:val="21"/>
              </w:rPr>
              <w:t xml:space="preserve">Brand kit: ✓ Locked + documented</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0A2540" w:sz="6"/>
        </w:pBdr>
        <w:spacing w:after="100" w:before="320"/>
      </w:pPr>
      <w:r>
        <w:rPr>
          <w:rFonts w:ascii="Calibri" w:cs="Calibri" w:eastAsia="Calibri" w:hAnsi="Calibri"/>
          <w:b/>
          <w:bCs/>
          <w:color w:val="0A2540"/>
          <w:sz w:val="26"/>
          <w:szCs w:val="26"/>
        </w:rPr>
        <w:t xml:space="preserve">💬 Client Testimonial</w:t>
      </w:r>
    </w:p>
    <w:p>
      <w:pPr>
        <w:pBdr>
          <w:left w:val="thick" w:color="00B4D8" w:sz="16"/>
        </w:pBdr>
        <w:shd w:fill="F0F9FF" w:color="auto" w:val="clear"/>
        <w:spacing w:after="80" w:before="140"/>
        <w:ind w:left="431"/>
      </w:pPr>
      <w:r>
        <w:rPr>
          <w:rFonts w:ascii="Calibri" w:cs="Calibri" w:eastAsia="Calibri" w:hAnsi="Calibri"/>
          <w:i/>
          <w:iCs/>
          <w:color w:val="1E293B"/>
          <w:sz w:val="22"/>
          <w:szCs w:val="22"/>
        </w:rPr>
        <w:t xml:space="preserve">A prospect told us at a networking event that they had been following our LinkedIn for two months before reaching out — because the content looked credible and professional. That's never happened before. We've always relied on referrals, but now the brand itself is doing the selling before we even speak to anyone.</w:t>
      </w:r>
    </w:p>
    <w:p>
      <w:pPr>
        <w:spacing w:after="160"/>
        <w:ind w:left="431"/>
      </w:pPr>
      <w:r>
        <w:rPr>
          <w:rFonts w:ascii="Calibri" w:cs="Calibri" w:eastAsia="Calibri" w:hAnsi="Calibri"/>
          <w:b/>
          <w:bCs/>
          <w:color w:val="0A2540"/>
          <w:sz w:val="21"/>
          <w:szCs w:val="21"/>
        </w:rPr>
        <w:t xml:space="preserve">Darren Chew Wei Ming</w:t>
      </w:r>
      <w:r>
        <w:rPr>
          <w:rFonts w:ascii="Calibri" w:cs="Calibri" w:eastAsia="Calibri" w:hAnsi="Calibri"/>
          <w:color w:val="555555"/>
          <w:sz w:val="20"/>
          <w:szCs w:val="20"/>
        </w:rPr>
        <w:t xml:space="preserve">  ·  Principal Advisor · Meridian Wealth Advisory · Kuala Lumpur</w:t>
      </w:r>
    </w:p>
    <w:p>
      <w:pPr>
        <w:spacing w:after="40"/>
      </w:pPr>
      <w:r>
        <w:rPr>
          <w:rFonts w:ascii="Calibri" w:cs="Calibri" w:eastAsia="Calibri" w:hAnsi="Calibri"/>
          <w:sz w:val="4"/>
          <w:szCs w:val="4"/>
        </w:rPr>
        <w:t xml:space="preserve"> </w:t>
      </w:r>
    </w:p>
    <w:p>
      <w:pPr>
        <w:spacing w:after="160"/>
      </w:pPr>
      <w:r>
        <w:rPr>
          <w:rFonts w:ascii="Calibri" w:cs="Calibri" w:eastAsia="Calibri" w:hAnsi="Calibri"/>
          <w:sz w:val="4"/>
          <w:szCs w:val="4"/>
        </w:rPr>
        <w:t xml:space="preserve"> </w:t>
      </w:r>
    </w:p>
    <w:p>
      <w:pPr>
        <w:pBdr>
          <w:top w:val="single" w:color="DDDDDD" w:sz="4"/>
        </w:pBdr>
        <w:spacing w:before="80"/>
        <w:jc w:val="center"/>
      </w:pPr>
      <w:r>
        <w:rPr>
          <w:rFonts w:ascii="Calibri" w:cs="Calibri" w:eastAsia="Calibri" w:hAnsi="Calibri"/>
          <w:color w:val="AAAAAA"/>
          <w:sz w:val="18"/>
          <w:szCs w:val="18"/>
        </w:rPr>
        <w:t xml:space="preserve">NextMarketing — Professional Marketing Services by TechNext Asia  |  hello@technext.asia</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2026-05-01T04:26:17.790Z</dcterms:created>
  <dcterms:modified xsi:type="dcterms:W3CDTF">2026-05-01T04:26:17.790Z</dcterms:modified>
</cp:coreProperties>
</file>

<file path=docProps/custom.xml><?xml version="1.0" encoding="utf-8"?>
<Properties xmlns="http://schemas.openxmlformats.org/officeDocument/2006/custom-properties" xmlns:vt="http://schemas.openxmlformats.org/officeDocument/2006/docPropsVTypes"/>
</file>